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4260"/>
        <w:spacing w:after="0"/>
        <w:tabs>
          <w:tab w:leader="none" w:pos="6400" w:val="left"/>
        </w:tabs>
        <w:rPr>
          <w:sz w:val="20"/>
          <w:szCs w:val="20"/>
          <w:color w:val="auto"/>
        </w:rPr>
      </w:pPr>
      <w:r>
        <w:rPr>
          <w:rFonts w:ascii="Times New Roman" w:cs="Times New Roman" w:eastAsia="Times New Roman" w:hAnsi="Times New Roman"/>
          <w:sz w:val="16"/>
          <w:szCs w:val="16"/>
          <w:b w:val="1"/>
          <w:bCs w:val="1"/>
          <w:color w:val="auto"/>
        </w:rPr>
        <w:t>For the transition period</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001-36629</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CAESARS ENTERTAINMENT,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jc w:val="center"/>
              <w:ind w:left="158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2"/>
          </w:tcPr>
          <w:p>
            <w:pPr>
              <w:jc w:val="center"/>
              <w:ind w:right="1882"/>
              <w:spacing w:after="0"/>
              <w:rPr>
                <w:sz w:val="20"/>
                <w:szCs w:val="20"/>
                <w:color w:val="auto"/>
              </w:rPr>
            </w:pPr>
            <w:r>
              <w:rPr>
                <w:rFonts w:ascii="Times New Roman" w:cs="Times New Roman" w:eastAsia="Times New Roman" w:hAnsi="Times New Roman"/>
                <w:sz w:val="16"/>
                <w:szCs w:val="16"/>
                <w:b w:val="1"/>
                <w:bCs w:val="1"/>
                <w:color w:val="auto"/>
              </w:rPr>
              <w:t>46-3657681</w:t>
            </w:r>
          </w:p>
        </w:tc>
      </w:tr>
      <w:tr>
        <w:trPr>
          <w:trHeight w:val="162"/>
        </w:trPr>
        <w:tc>
          <w:tcPr>
            <w:tcW w:w="3580" w:type="dxa"/>
            <w:vAlign w:val="bottom"/>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2"/>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2"/>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4"/>
        </w:trPr>
        <w:tc>
          <w:tcPr>
            <w:tcW w:w="3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100 West Liberty Street, 12th Floor</w:t>
            </w:r>
          </w:p>
        </w:tc>
        <w:tc>
          <w:tcPr>
            <w:tcW w:w="62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3"/>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Reno, Nevada 89501</w:t>
            </w:r>
          </w:p>
        </w:tc>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90"/>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8"/>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Telephone: (775) 328-0100</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12"/>
        </w:trPr>
        <w:tc>
          <w:tcPr>
            <w:tcW w:w="3580" w:type="dxa"/>
            <w:vAlign w:val="bottom"/>
          </w:tcPr>
          <w:p>
            <w:pPr>
              <w:spacing w:after="0"/>
              <w:rPr>
                <w:sz w:val="18"/>
                <w:szCs w:val="18"/>
                <w:color w:val="auto"/>
              </w:rPr>
            </w:pP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9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 w:type="dxa"/>
            <w:vAlign w:val="bottom"/>
          </w:tcPr>
          <w:p>
            <w:pPr>
              <w:spacing w:after="0"/>
              <w:rPr>
                <w:sz w:val="24"/>
                <w:szCs w:val="24"/>
                <w:color w:val="auto"/>
              </w:rPr>
            </w:pPr>
          </w:p>
        </w:tc>
        <w:tc>
          <w:tcPr>
            <w:tcW w:w="39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60" w:type="dxa"/>
            <w:vAlign w:val="bottom"/>
            <w:gridSpan w:val="2"/>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184"/>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$0.00001, par value</w:t>
            </w:r>
          </w:p>
        </w:tc>
        <w:tc>
          <w:tcPr>
            <w:tcW w:w="240" w:type="dxa"/>
            <w:vAlign w:val="bottom"/>
          </w:tcPr>
          <w:p>
            <w:pPr>
              <w:spacing w:after="0"/>
              <w:rPr>
                <w:sz w:val="15"/>
                <w:szCs w:val="15"/>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CZR</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center"/>
              <w:ind w:right="682"/>
              <w:spacing w:after="0"/>
              <w:rPr>
                <w:sz w:val="20"/>
                <w:szCs w:val="20"/>
                <w:color w:val="auto"/>
              </w:rPr>
            </w:pPr>
            <w:r>
              <w:rPr>
                <w:rFonts w:ascii="Times New Roman" w:cs="Times New Roman" w:eastAsia="Times New Roman" w:hAnsi="Times New Roman"/>
                <w:sz w:val="14"/>
                <w:szCs w:val="14"/>
                <w:b w:val="1"/>
                <w:bCs w:val="1"/>
                <w:color w:val="auto"/>
              </w:rPr>
              <w:t>NASDAQ Stock Market</w:t>
            </w:r>
          </w:p>
        </w:tc>
      </w:tr>
      <w:tr>
        <w:trPr>
          <w:trHeight w:val="290"/>
        </w:trPr>
        <w:tc>
          <w:tcPr>
            <w:tcW w:w="8380" w:type="dxa"/>
            <w:vAlign w:val="bottom"/>
            <w:gridSpan w:val="6"/>
          </w:tcPr>
          <w:p>
            <w:pPr>
              <w:jc w:val="center"/>
              <w:ind w:left="278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2840" w:type="dxa"/>
            <w:vAlign w:val="bottom"/>
          </w:tcPr>
          <w:p>
            <w:pPr>
              <w:spacing w:after="0"/>
              <w:rPr>
                <w:sz w:val="24"/>
                <w:szCs w:val="24"/>
                <w:color w:val="auto"/>
              </w:rPr>
            </w:pPr>
          </w:p>
        </w:tc>
      </w:tr>
      <w:tr>
        <w:trPr>
          <w:trHeight w:val="280"/>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4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284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reports required to be filed by Section 13 or 15(d) of the Securities Exchange Act of 1934 during the preceding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8"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69" w:right="339" w:bottom="1440" w:gutter="0" w:footer="0" w:header="0"/>
        </w:sectPr>
      </w:pPr>
    </w:p>
    <w:p>
      <w:pPr>
        <w:spacing w:after="0" w:line="76"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76" w:lineRule="exact"/>
        <w:rPr>
          <w:sz w:val="24"/>
          <w:szCs w:val="24"/>
          <w:color w:val="auto"/>
        </w:rPr>
      </w:pPr>
    </w:p>
    <w:p>
      <w:pPr>
        <w:sectPr>
          <w:pgSz w:w="11900" w:h="16838" w:orient="portrait"/>
          <w:cols w:equalWidth="0" w:num="6">
            <w:col w:w="2720" w:space="720"/>
            <w:col w:w="340" w:space="720"/>
            <w:col w:w="1980" w:space="720"/>
            <w:col w:w="520" w:space="720"/>
            <w:col w:w="1780" w:space="720"/>
            <w:col w:w="300"/>
          </w:cols>
          <w:pgMar w:left="320" w:top="1069" w:right="339" w:bottom="1440" w:gutter="0" w:footer="0" w:header="0"/>
          <w:type w:val="continuous"/>
        </w:sect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Section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$8.2 billion at June 30, 2024 based upon the closing price for the shares of CZR’s common stock as reported by The Nasdaq Stock Market.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20, 2025, there were 212,013,306 outstanding shares of the Registrant’s Common Stock,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CCEEFF"/>
            </w:tcBorders>
          </w:tcPr>
          <w:p>
            <w:pPr>
              <w:spacing w:after="0"/>
              <w:rPr>
                <w:sz w:val="20"/>
                <w:szCs w:val="20"/>
                <w:color w:val="auto"/>
              </w:rPr>
            </w:pPr>
          </w:p>
        </w:tc>
        <w:tc>
          <w:tcPr>
            <w:tcW w:w="93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Business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17</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1B.</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1C.</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Cybersecurity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Properties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7.</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7A.</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8.</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9.</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9A.</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9B.</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9C.</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9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10.</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11.</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12.</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13.</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14.</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105</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9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15.</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16.</w:t>
            </w:r>
          </w:p>
        </w:tc>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000FF"/>
              </w:rPr>
              <w:t>Form 10-K Summary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111</w:t>
            </w: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93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112</w:t>
            </w:r>
          </w:p>
        </w:tc>
      </w:tr>
      <w:tr>
        <w:trPr>
          <w:trHeight w:val="1190"/>
        </w:trPr>
        <w:tc>
          <w:tcPr>
            <w:tcW w:w="920" w:type="dxa"/>
            <w:vAlign w:val="bottom"/>
            <w:tcBorders>
              <w:bottom w:val="single" w:sz="8" w:color="9A9A9A"/>
            </w:tcBorders>
          </w:tcPr>
          <w:p>
            <w:pPr>
              <w:spacing w:after="0"/>
              <w:rPr>
                <w:sz w:val="24"/>
                <w:szCs w:val="24"/>
                <w:color w:val="auto"/>
              </w:rPr>
            </w:pPr>
          </w:p>
        </w:tc>
        <w:tc>
          <w:tcPr>
            <w:tcW w:w="9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BF2115"/>
        </w:rPr>
        <w:t>PART I</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filing, Caesars Entertainment, Inc., a Delaware corporation, and its subsidiaries may be referred to as the “Company,” “CEI,” “Caesars,” “we,” “us” or “our” or the “Registrant.”</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which are prepared in accordance with accounting principles generally accepted in the United States (“GAAP”). References to numbered “Notes” refer to Notes to our Consolidated Financial Statements included in Item 8.</w:t>
      </w:r>
    </w:p>
    <w:p>
      <w:pPr>
        <w:spacing w:after="0" w:line="13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1.</w:t>
      </w:r>
      <w:r>
        <w:rPr>
          <w:sz w:val="20"/>
          <w:szCs w:val="20"/>
          <w:color w:val="auto"/>
        </w:rPr>
        <w:tab/>
      </w:r>
      <w:r>
        <w:rPr>
          <w:rFonts w:ascii="Times New Roman" w:cs="Times New Roman" w:eastAsia="Times New Roman" w:hAnsi="Times New Roman"/>
          <w:sz w:val="21"/>
          <w:szCs w:val="21"/>
          <w:b w:val="1"/>
          <w:bCs w:val="1"/>
          <w:color w:val="BF2115"/>
        </w:rPr>
        <w:t>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 of revenue is generated by our gaming operations, which includes retail and online sports betting and online gaming. Additionally, we utilize our hotels, restaurants, bars, entertainment, racing, retail shops and other services to attract customers to our properties.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2024, we own, lease or manage an aggregate of 53 domestic properties in 18 states. We also operate and conduct sports wagering across 32 jurisdictions in North America, 26 of which offer online sports betting, and operate iGaming in five jurisdictions in North America. We currently operate the Caesars Sportsbook app, the Caesars Racebook app, the Caesars Palace Online Casino app and the new Horseshoe Online Casino app which initially launched in October 2024. We expect to continue to grow our operations in the Caesars Digital segment as new jurisdictions legalize retail and online sports betting and iGaming. In addition, we have other properties in North America that are authorized to use the brands and marks of Caesars Entertainment, Inc., as well as other non-gaming properties. We lease certain real property assets from third parties, including GLP Capital, L.P., the operating partnership of Gaming and Leisure Properties, Inc. (“GLPI”) and VICI Properties L.P., a Delaware limited partnership (“VICI”). See </w:t>
      </w:r>
      <w:r>
        <w:rPr>
          <w:rFonts w:ascii="Times New Roman" w:cs="Times New Roman" w:eastAsia="Times New Roman" w:hAnsi="Times New Roman"/>
          <w:sz w:val="18"/>
          <w:szCs w:val="18"/>
          <w:u w:val="single" w:color="auto"/>
          <w:color w:val="0000FF"/>
        </w:rPr>
        <w:t>Item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“Properties,”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more information about our properties.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business is composed of complementary businesses that reinforce, cross-promote, and build upon each other: casino, which includes our retail and online sports betting and iGaming, food and beverage, hotel, casino management or branding, entertainment, retail and other business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Casino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casino operations generate revenues from approximately 51,400 slot machines, 2,800 table games, including poker, sports betting from our retail and online sportsbooks, iGaming and other games such as keno, all of which comprised approximately 56% of our total net revenues in 2024. Slot revenues generate the majority of our casino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and Online Sports Betting and iGaming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and conducts sports wagering across 32 jurisdictions in North America, 26 of which offer online sports betting, and operates iGaming in five jurisdictions in North America as of December 31, 2024. We offer hundreds of online casino games including slots, table games, live dealer and video poker and we expect to increase our product offerings as iGaming is legalized in additional states. We continue to leverage the World Series of Poker (“WSOP”) brand within the United States with the licensing agreement that we entered into concurrently with the sale of WSOP brand on October 29,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Our Caesars Sportsbook app operates on our owned and integrated technology platform we have labeled Liberty (“Liberty”). The app offers extensive pre-match and live markets, extensive odds and flexible limits, player props, and same-game parlays. In addition to the Caesars Sportsbook app, we partnered with NYRABets LLC, the official online wagering platform of the New York Racing Association, Inc. and operate the Caesars Racebook app in 22 states. The Caesars Racebook app provides access for pari-mutuel wagering at over 300 racetracks around the world as well as livestreaming of races. Additionally, we launched our Caesars Palace Online Casino app in 2023 and initially launched the new Horseshoe Online Casino app in October 2024. Wagers placed can earn credits towards the Caesars Rewards loyalty program or points which can be redeemed for free wagering credits. No customers under 21 years old are allowed to wager on any of our Caesars Sportsbook, Caesars Racebook and iGaming mobile apps. Growth in the Caesars Digital segment continues to be realized with the strategic expansion into new states as jurisdictions legalize retail and online sports betting, iGaming and online horse race wagering.</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Sports Brand Partnerships — </w:t>
      </w:r>
      <w:r>
        <w:rPr>
          <w:rFonts w:ascii="Times New Roman" w:cs="Times New Roman" w:eastAsia="Times New Roman" w:hAnsi="Times New Roman"/>
          <w:sz w:val="18"/>
          <w:szCs w:val="18"/>
          <w:color w:val="auto"/>
        </w:rPr>
        <w:t>Caesars Sportsbook has partnerships with the NFL, NBA, NHL, MLB, and several individual teams. We have continued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new partnerships among professional sports teams and entered into a 20-year exclusive naming-rights partnership branding the Caesars Superdome in New Orleans in 2021. Our strategy includes developing local and national partnerships that align our sportsbooks, casinos, resorts and brands with sports fans. We have high-profile exclusive sports entertainment partnerships with the NFL, making Caesars the first-ever “Official Casino Sponsor” in the history of the league. This historic partnership combines the NFL’s legendary events with our properties to bring unique experiences to our patrons. This includes exclusive rights to use NFL trademarks to promote our properties and enabling Caesars to host exclusive special events and experiences.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Food and Beverage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food and beverage operations generate revenues from our dining venues, bars, nightclubs, and lounges located throughout our casinos and represented approximately 15% of our total net revenues in 2024. Many of our properties include several dining options, ranging from upscale dining experiences to moderately-priced restaurants, some of which offer pickup or in-room delivery options.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Hotel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Hotel operations generate revenues from hotel stays at our properties in our approximately 45,600 guest rooms and suites and represented approximately 18% of our total net revenues in 2024. Our properties operate at various price and service points, allowing us to host a variety of casino guests, who are visiting our properties for gaming and other casino entertainment options, and non-casino guests who are visiting our properties for other purposes, such as vacation travel or conventions.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and Branding Arrangements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revenue from fees paid for the management of other hotels and casinos in North America. Managed properties represent Caesars-branded properties where we provide certain staffing and management services under management agreements. In addition, we authorize the use of certain brands and marks of Caesars Entertainment, Inc. from which we earn revenue from fees received based on the arrangements.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Entertainment and Other Non-Gaming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a variety of retail and entertainment offerings at our properties. We operate various entertainment venues across the United States, including the Colosseum at Caesars Palace Las Vegas and PH Live at Planet Hollywood Resort &amp; Casino. These award-winning entertainment venues host or have announced plans to host, prominent headliners such as Garth Brooks, The Killers, Rod Stewart, Jerry Seinfeld, Kelly Clarkson, Shania Twain, Scorpions and Blake Shelton.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we sold the LINQ Promenade, which is an open-air dining, entertainment, and retail development located between The LINQ Hotel &amp; Casino and Flamingo Las Vegas. The retail stores offer guests a wide range of options from high-end brands and accessories to souvenirs and decorative items. We continue to operate the High Roller, a 550-foot observation wheel, and Fly LINQ, the first and only zipline on the Las Vegas Strip located between the LINQ Hotel &amp; Casino and Flamingo Las Vegas.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CAESARS FORUM is a 550,000 square-foot state-of-the-art conference center located at the center of the Las Vegas Strip. CAESARS FORUM can accommodate more than 10,000 participants and features more than 300,000 square feet of flexible meeting space, the two largest pillarless ballrooms in the world, a LEED silver-rated FORUM Plaza, and the first 100,000 square-foot outdoor meeting and event space in Las Vegas.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Market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Trends</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Economic Factors Impacting Discretionary Spending — </w:t>
      </w:r>
      <w:r>
        <w:rPr>
          <w:rFonts w:ascii="Times New Roman" w:cs="Times New Roman" w:eastAsia="Times New Roman" w:hAnsi="Times New Roman"/>
          <w:sz w:val="18"/>
          <w:szCs w:val="18"/>
          <w:color w:val="auto"/>
        </w:rPr>
        <w:t>Gaming and other leisure activities we offer represent discretionary expenditures which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sensitive to economic downturns which impacts the behavior among the components of our customer mix differently.</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the effects of recent inflation and the possible implications on certain customers most affected by lower discretionary income. In addition, our leases with VICI are impacted by inflation as they are subject to annual escalators based on the Consumer Price Index (“CPI”).</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continuing to monitor interest rates which have a direct impact on certain of our debt instruments, in addition to an effect on consumer spending. We evaluate projected changes in interest rates when entering into borrowing arrangements and manage our mix of fixed versus variable debt accordingly.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manage the economic challenges affecting our industry and our Company that arise including labor shortages, higher labor costs, supply chain disruptions, increased costs of goods and services, among other impacts. Further discussion of the effects of these trends are described throughout this Form 10-K. The extent and duration of these trends is uncertain and may intensify.</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Online Betting and Gaming — </w:t>
      </w:r>
      <w:r>
        <w:rPr>
          <w:rFonts w:ascii="Times New Roman" w:cs="Times New Roman" w:eastAsia="Times New Roman" w:hAnsi="Times New Roman"/>
          <w:sz w:val="18"/>
          <w:szCs w:val="18"/>
          <w:color w:val="auto"/>
        </w:rPr>
        <w:t>Online betting and gaming is a rapidly developing sector of the e-commerce industry and we believe the digital segment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global betting and gaming industry will continue to grow in popularity and consumer confidence. The market for online betting platforms is being driven by the increased use of digital processes and growing bettor demand. We anticipate that the United States market will continue to have a strong and steady uptake in active wagers as state-by-state legislation in the United States continues to evolve resulting in new opportunities in the United States sports betting market. The extent and future effects of online betting and gaming on our casino properties is uncertain but we expect that our online betting and gaming offerings will be complementary to our overall brick-and-mortar casino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casino entertainment business is highly competitive. The industry is composed of a diverse group of competitors that vary considerably in size and geographic diversity, quality of facilities and amenities available, marketing and growth strategies, and financial condition. In most regions, we compete directly with other casino facilities operating in the immediate and surrounding areas. There has been increased competition from openings of newly developed casinos and plans of development in certain regions, including new tribal expansions throughout the United States. In Las Vegas, our largest jurisdiction, there have been openings and proposals for other large scale gaming and non-gaming development projects by various other developers and local casino operators. In response to changing trends, Las Vegas operators have been focused on expanding their non-gaming offerings, including upgrades to hotel rooms, new food and beverage offerings, and new entertainment offerings. Our Las Vegas Strip hotels and casinos also compete, in part, with each other.</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many casino operators, including us, have been reinvesting in existing facilities, developing or rebranding new casinos or complementary facilities, and acquiring established facilities. These reinvestment and expansion efforts combined with aggressive marketing strategies by us and many of our competitors have resulted in increased competition in many regions. As companies have completed new expansion projects, supply has grown at a faster pace than demand in some areas. The expansion of properties and entertainment venues into new jurisdictions also presents competitive pressures.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properties also compete with legalized gaming from casinos located on Native American tribal lands. While the competitive impact on operations in Las Vegas from the continued growth of Native American gaming establishments in California remains uncertain, the proliferation of gaming in California and other areas located in the same regions as our properties could have an adverse effect on our results of operations. In some instances, particularly in the case of Native American casinos, our competitors pay lower taxes or no taxes. In addition, certain states have legalized, and others may legalize, casino gaming in specific areas, including metropolitan areas from which we traditionally attract customers. These factors create additional challenges for us in competing for customers and accessing cash flow or financing to fund improvements for our casino and entertainment products that enable us to remain competitive.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compete with other non-gaming resorts and vacation areas, various other entertainment businesses, and other forms of gaming, such as state lotteries, on-track and off-track wagering, video lottery terminals, and card parlors. Our non-gaming offerings also compete with other retail facilities, amusement attractions, food and beverage offerings, and entertainment venues. Internet gaming and sports betting may also create additional competition in certain jurisdictions that our brick-and-mortar properties are located.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our online sports betting, online horse racing wagering and iGaming businesses in jurisdictions where we currently operate and those jurisdictions in which we wish to expand. We continue to face new forms of competition with the advancement of other mobile sports betting, daily fantasy sports, sweepstakes betting products and other products by operators in similar jurisdictions in which we operate, as well as operators which are unregulated and operate outside of the United States. Although we have experienced recent success in obtaining approval for sports betting and iGaming licenses in new jurisdictions, new state launches may require significant upfront investment and may not be successful.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 Material to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Rewards Programs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Caesars Rewards enables us to compete more effectively and capture a larger share of our customers’ entertainment spending when they travel among regions or engage in online wagering and gaming versus that of a standalone property, which is core to our cross-market strategy.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Caesars Rewards members earn Reward Credits for qualifying gaming activities, including sports betting, online gaming and iGaming apps and wagering in the Caesars Sportsbook, Caesars Palace Online Casino, Horseshoe Online Casino, and Caesars Racebook apps. Members also earn Reward Credits for qualifying hotel, dining and retail spending at most Caesars Entertainment destinations in the United States and Canada. Additionally, Reward Credits are earned when members use their Caesars Rewards VISA credit card or make a purchase through a Caesars Rewards partner. Members can redeem their earned Reward Credits for those same experiences.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Caesars Rewards is structured by member tier level (designated as Gold, Platinum, Diamond, Diamond Plus, Diamond Elite or Seven Stars) and member value. This structure allows a member to progressively access the full range of benefits available across our portfolio of destinations as they progress through tier levels. Caesars Rewards is designed to cultivate a gratifying and frictionless relationship with our customers, motivating members to enhance both their frequency of visits and expenditures. Additionally, member data is utilized in conjunction with diverse marketing promotions. This includes campaigns spanning direct mail, email, our websites, mobile devices, social media, and interactive slot machines.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Intellectual Property and Resources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a variety of trade names, service marks, trademarks, patents and copyrights in our operations and believe that we have the rights necessary to conduct our continuing operations. The development of intellectual property is part of our overall business strategy. We regard our intellectual property to be an important element of our success. We file applications for and obtain patents, trademarks and copyrights in the United States and foreign countries where we believe filing for such protection is appropriate. While our business as a whole is not substantially dependent on any one patent, trademark, or copyright, we seek to establish and maintain our proprietary rights in our business operations and technology through the use of patents, trademarks, copyrights, and trade secret laws. We also seek to maintain our trade secrets and confidential information by nondisclosure policies and through the use of appropriate confidentiality agreements. Our United States patents have varying expiration dates.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applied for the registration of all of our trademarks, copyrights, proprietary technology, or other intellectual property rights, as the case may be, and may not be successful in obtaining all intellectual property rights for which we have applied. Despite our efforts to protect our proprietary rights, parties may infringe upon our intellectual property and use information that we regard as proprietary, and our rights may be invalidated or unenforceable. The laws of some foreign countries do not protect proprietary rights or intellectual property to as great of an extent as do the laws of the United States. In addition, others may independently develop substantially equivalent intellectual property.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or have the right to use proprietary rights to a number of trademarks that we consider, along with the associated name recognition, to be valuable to our business, including Eldorado, Silver Legacy, Isle, Lady Luck, Tropicana, Circus Circus, Caesars, Flamingo, Harrah’s, Horseshoe, Paris, Planet Hollywood, Caesars Rewards, Caesars Sportsbook, and William Hill.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our Caesars Sportsbook app is powered by our Liberty platform. The Liberty platform resulted in a significant upgrade to our user interface and significant product upgrades including numerous pre-match and live markets, extensive odds and flexible limits, player props, and same-game parlays. Our Liberty platform also integrates customers with the Caesars Rewards loyalty program. In addition, we and NYRABets LLC, the official online wagering platform of the New York Racing Association, Inc., have launched the Caesars Racebook app in 22 jurisdictions. The Caesars Racebook app provides access for pari-mutuel wagering at over 300 racetracks around the world. Wagers placed can earn credits towards the Caesars Rewards loyalty program.</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7, “Management’s Discussion and Analysis of Financial Condition and Results of Operations.”</w:t>
      </w:r>
      <w:r>
        <w:rPr>
          <w:rFonts w:ascii="Times New Roman" w:cs="Times New Roman" w:eastAsia="Times New Roman" w:hAnsi="Times New Roman"/>
          <w:sz w:val="18"/>
          <w:szCs w:val="18"/>
          <w:color w:val="auto"/>
        </w:rPr>
        <w:t xml:space="preserve"> See also Exhibit 99.1, “Gaming and Regulatory Overview,” to this Annual Report on Form 10-K,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business at our regional properties outside of Las Vegas is subject to seasonality, including seasonality based on the weather in the region in which they operate and the travel habits of visitors. Business in our properties can also fluctuate due to specific holidays or other significant events, particularly when a holiday falls in a different quarter than the prior year, the timing of the WSOP tournament (with respect to our Las Vegas properties), city-wide conventions, large sporting events or concerts, or visits by our premium players. We also believe that any seasonality, holiday, or other significant event may affect our various properties or regions differently. We may also experience seasonality with retail and online sports betting which coincides with certain sporting events, as well as seasons of professional sports teams.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 Licenses and Governmental Regulations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gaming and racing industries are highly regulated, and we must maintain our licenses and pay gaming taxes to continue our operations. We are subject to extensive regulation under laws, rules and supervisory procedures.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more detailed description of the regulations to which we are subject is contained in Exhibit 99.1 to this Annual Report on Form 10-K, which is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Internal Revenue Service Regulations, Bank Secrecy Act &amp; Anti-Money Laundering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Internal Revenue Service requires operators of casinos and online sports betting apps located in the United States to file information returns for U.S. citizens, including names and addresses of winners for certain table games, keno, bingo, slot machine and retail and online sports betting winnings in excess of stipulated amounts. The Internal Revenue Service also requires operators to withhold taxes on some table games, keno, bingo, slot machine and retail and online sports betting winnings of nonresident aliens. We are unable to predict the extent to which these requirements, if extended, might impede or otherwise adversely affect operations of, and/or income from, other games.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Regulations adopted by the Financial Crimes Enforcement Network of the Treasury Department (“FINCEN”) requires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Caesars maintains a comprehensive risk-based Bank Secrecy Act (“BSA”) and Anti-Money Laundering (“AML”) program. It includes strong governance and effective internal controls and procedures to comply with applicable BSA requirements, regulatory guidance, and any related laws, and to take measures to prevent its affiliated casinos from being used for money laundering or other criminal activity. Execution of the program is governed with reference to FINCEN’s guidance on the Culture of Compliance. Caesars’ internal AML Policy, Know Your Customer Policy and BSA Identification Policy outline the Caesars AML Program and set the minimum standards for the related procedures and internal controls of the Caesars casino affiliates. Certain employees are required to complete annual trainings related to company policies, including AML.</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Laws and Regulations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deal with significant amounts of cash in our operations and are subject to various reporting and anti-money laundering regulations.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 See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discussion.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health and safety laws and regulations, including but not limited to air quality, indoor air quality, water quality, bulk storage of regulated materials, and disposal of waste, including hazardous waste. Such laws and regulations can impose liability on potentially responsible parties (owner/operators of real property) to clean up, or contribute to the cost of cleaning up, sites at which regulated materials were disposed of or released. In addition to investigation and remediation liabilities that could arise under such laws and regulations, we could face personal injury, property damage, fines or other claims by third parties concerning environmental compliance, contamination or exposure to hazardous conditions. Environmental regulatory violations also include monetary penalties assessed by the jurisdictional regulatory agency and civil or criminal penalties for intentional negligence. Occasionally and under certain circumstances, we have investigated and remediated (or contributed to remediation costs) contamination located at or near our facilities. Examples included contamination related to underground storage tanks and groundwater contamination arising from prior uses of land on which certain facilities are located. In addition, we have and continue to contain, manage, and dispose of manure and wastewater generated by concentrated animal feeding operations due to our racetrack operations; manage, abate, or remove indoor air quality concerns such as mold, lead, or asbestos-containing materials; and manage operations within applicable environmental permitting requirements. Although we have incurred and expect to incur costs related to various environmental matters such as investigations, remediation, and management of hazardous materials or conditions known or discovered to exist at our properties, those costs have not had, and are not expected to have, a material adverse effect on our financial condition, results of operations or cash flow. However, such matters in the future could have a material adverse effect on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Climate Change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an increasing focus of international, national, state, regional and local regulatory bodies on greenhouse gas (“GHG”), including carbon emissions, and climate change issues. Future regulation could impose stringent standards to substantially reduce GHG emissions. Legislation to regulate GHG emissions has periodically been introduced in the U.S. Congress. Some Administrations have taken steps to further regulate GHG emissions. Those reductions could be costly and difficult to implement or estimate.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financial and regulatory effects, the projected severe effects of climate change – such as property damage or supply chain issues stemming from extreme weather events – has already and may continue to directly affect our facilities and operations. We recognize the impacts of climate change and are engaged in long-term initiatives to identify, assess, and manage the risks and opportunities associated with climate change (see “Environmental Stewardship” below).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Reporting and Record-Keeping Requirements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aim to provide a workplace that is engaging, empowering, inclusive and respectful for all employees (our “Team Members”), embracing a culture of openness, passion for service and recognition. Our ongoing investment in professional training and development, safety, health and wellbeing, and Team Member recognition linked to guest satisfaction and community engagement are all important drivers of our success in delivering strong business results and creating value. We have approximately 50,000 Team Members throughout our organization, excluding all tribal partnerships.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Labor Relations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22,000, or 44% of our Team Members, are covered by collective bargaining agreements with certain of our subsidiaries. The majority of these employees in various job positions are covered by the following agreements: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 Number of</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 of Collective</w:t>
            </w:r>
          </w:p>
        </w:tc>
        <w:tc>
          <w:tcPr>
            <w:tcW w:w="0" w:type="dxa"/>
            <w:vAlign w:val="bottom"/>
          </w:tcPr>
          <w:p>
            <w:pPr>
              <w:spacing w:after="0"/>
              <w:rPr>
                <w:sz w:val="1"/>
                <w:szCs w:val="1"/>
                <w:color w:val="auto"/>
              </w:rPr>
            </w:pPr>
          </w:p>
        </w:tc>
      </w:tr>
      <w:tr>
        <w:trPr>
          <w:trHeight w:val="176"/>
        </w:trPr>
        <w:tc>
          <w:tcPr>
            <w:tcW w:w="3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Employee Group</w:t>
            </w:r>
          </w:p>
        </w:tc>
        <w:tc>
          <w:tcPr>
            <w:tcW w:w="24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Active Employees</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Union</w:t>
            </w: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vMerge w:val="continue"/>
          </w:tcPr>
          <w:p>
            <w:pPr>
              <w:spacing w:after="0"/>
              <w:rPr>
                <w:sz w:val="21"/>
                <w:szCs w:val="21"/>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Represented</w:t>
            </w:r>
          </w:p>
        </w:tc>
        <w:tc>
          <w:tcPr>
            <w:tcW w:w="2840" w:type="dxa"/>
            <w:vAlign w:val="bottom"/>
            <w:gridSpan w:val="2"/>
            <w:vMerge w:val="continue"/>
          </w:tcPr>
          <w:p>
            <w:pPr>
              <w:spacing w:after="0"/>
              <w:rPr>
                <w:sz w:val="21"/>
                <w:szCs w:val="21"/>
                <w:color w:val="auto"/>
              </w:rPr>
            </w:pPr>
          </w:p>
        </w:tc>
        <w:tc>
          <w:tcPr>
            <w:tcW w:w="29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8"/>
              </w:rPr>
              <w:t xml:space="preserve">Bargaining Agreement </w:t>
            </w:r>
            <w:r>
              <w:rPr>
                <w:rFonts w:ascii="Times New Roman" w:cs="Times New Roman" w:eastAsia="Times New Roman" w:hAnsi="Times New Roman"/>
                <w:sz w:val="23"/>
                <w:szCs w:val="23"/>
                <w:b w:val="1"/>
                <w:bCs w:val="1"/>
                <w:i w:val="1"/>
                <w:iCs w:val="1"/>
                <w:color w:val="auto"/>
                <w:w w:val="98"/>
                <w:vertAlign w:val="superscript"/>
              </w:rPr>
              <w:t>(a)</w:t>
            </w:r>
          </w:p>
        </w:tc>
        <w:tc>
          <w:tcPr>
            <w:tcW w:w="0" w:type="dxa"/>
            <w:vAlign w:val="bottom"/>
          </w:tcPr>
          <w:p>
            <w:pPr>
              <w:spacing w:after="0"/>
              <w:rPr>
                <w:sz w:val="1"/>
                <w:szCs w:val="1"/>
                <w:color w:val="auto"/>
              </w:rPr>
            </w:pPr>
          </w:p>
        </w:tc>
      </w:tr>
      <w:tr>
        <w:trPr>
          <w:trHeight w:val="22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Culinary Employees</w:t>
            </w:r>
          </w:p>
        </w:tc>
        <w:tc>
          <w:tcPr>
            <w:tcW w:w="8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Culinary Workers Union, Local 226</w:t>
            </w:r>
          </w:p>
        </w:tc>
        <w:tc>
          <w:tcPr>
            <w:tcW w:w="10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2028</w:t>
            </w:r>
          </w:p>
        </w:tc>
        <w:tc>
          <w:tcPr>
            <w:tcW w:w="0" w:type="dxa"/>
            <w:vAlign w:val="bottom"/>
          </w:tcPr>
          <w:p>
            <w:pPr>
              <w:spacing w:after="0"/>
              <w:rPr>
                <w:sz w:val="1"/>
                <w:szCs w:val="1"/>
                <w:color w:val="auto"/>
              </w:rPr>
            </w:pPr>
          </w:p>
        </w:tc>
      </w:tr>
      <w:tr>
        <w:trPr>
          <w:trHeight w:val="175"/>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Atlantic City Food &amp; Beverage and</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2,600</w:t>
            </w:r>
          </w:p>
        </w:tc>
        <w:tc>
          <w:tcPr>
            <w:tcW w:w="100" w:type="dxa"/>
            <w:vAlign w:val="bottom"/>
          </w:tcPr>
          <w:p>
            <w:pPr>
              <w:spacing w:after="0"/>
              <w:rPr>
                <w:sz w:val="15"/>
                <w:szCs w:val="15"/>
                <w:color w:val="auto"/>
              </w:rPr>
            </w:pP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 HERE, Local 54</w:t>
            </w: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31, 2026</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Hotel Employees</w:t>
            </w:r>
          </w:p>
        </w:tc>
        <w:tc>
          <w:tcPr>
            <w:tcW w:w="2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0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Dealers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United Auto Workers</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Las Vegas Bartenders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1,300</w:t>
            </w: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Bartenders Union, Local 165</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2028</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Teamsters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Teamsters, Local 986</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31, 2029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The agreements are generally amendable 60 days prior to expiration date.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Talent acquisition and retention are key priorities. We maintain a wide range of channels for recruiting, including outreach to academic institutions, trade training centers, culinary institutions and nonprofits that help us source a dynamic pool of candidates who represent the communities in which we operate across the United States. We are committed to supporting Team Members throughout their career with Caesars and providing opportunities to achieve their professional goals.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inspire our Team Members through our mission, vision and values, and our Code of Commitment (described below). To evaluate our Team Member experience and our retention efforts, we monitor several Team Member measures, such as turnover rates and Team Member satisfaction. We send out Team Member experience surveys to help us further understand the drivers of engagement and areas where we can improve. These surveys are completed on a regular basis alongside additional surveys targeted at specific events within a Team Member cycle such as new hire onboarding and exit inquiries.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 Team Member assistance program.</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place utmost importance on creating a safe workplace for our Team Members, embedding procedures so that all our Team Members have the awareness, knowledge and tools to make safe working a habit.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programs to help our Team Members improve their health and wellbeing. These programs strive to provide metrics to demonstrate improvements in health for participating Team Members and their covered family members. We continue to make enhancements to our offerings and wellbeing programs with a wide range of affordable options, mental health initiatives and onsite primary care clinics.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We remain focused on recruiting and retaining Team Members who represent the communities in which we operate and creating an inclusive environment where all Team Members and guests are welcome. We embrace the unique and dynamic perspectives of our workforce and are committed to providing a workplace where every individual feels valued and empowered to be their best. We are concluding our five-year workforce diversity goals established in 2020, continue to comply with demographic requirements as outlined by various regulators.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Caesars’ Board of Directors (the “Board”) and senior executives view corporate social responsibility (“CSR”) as an integral element in the way we do business, with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In 2024, the Board and our leadership continued to engage with our CEO-level external CSR Advisory Board composed of experts representing inclusion, social impact, sustainability, business strategy, academia and investors, and used their guidance to confirm our CSR priorities. These priorities are reflected in our 15th annual CSR report, published in 2024 in accordance with Global Reporting Initiative Standards.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CSR Committee of the Board</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Caesars’ Board has a CSR committee that defines the duties and responsibilities of the Board in supporting delivery of our corporate purpose and CSR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Commitment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Caesars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12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Supporting the wellbeing of our Team Members, guests and local communities.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PLANET: Taking care of the world we all call home.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 Creating memorable experiences for our guests and leading responsible gaming practices in the industry.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PEOPLE PLANET PLAY Strategy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PEOPLE PLANET PLAY strategy defines how we meet the obligations of our Code of Commitment. PEOPLE PLANET PLAY establishes multi-year targets in key areas of impact, including science-based greenhouse gas emissions-reduction goals aligning with global best practices on climate change action. In 2022, we conducted a comprehensive CSR assessment to evaluate our assumptions. With the help of an external specialist, our assessment gathered input from internal and external stakeholders, reviewed multiple industry and environmental, social and governance (“ESG”) disclosures, standards and frameworks and yielded 21 material topics. Our materiality assessment is available on our website at www.investor.caesars.com within the ESG resource hub on our Corporate Social Responsibility page. We are in the process of reviewing and updating our materiality assessment.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Responsible Gaming</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more than thirty years, Caesars has maintained its Responsible Gaming (“RG”) program. We train tens of thousands of Team Members each year and a cohort of RG Ambassadors throughout our properties to identify guests in need of assistance and provide support. In recent years, Caesars has contributed to the National Center for Responsible Gaming, the National Council on Problem Gaming and other state programs to help advance responsible practices in the gaming industry. Caesars Digital also maintains responsible gaming programs tailored to each state in which it operates, participates in Caesars’ overarching Responsible Gaming program, and offers users in-application RG tools such as time on device restrictions and wagering limits. No customers under 21 years old are allowed to wager on any of our Caesars Sportsbook, Caesars Racebook and iGaming mobile apps.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Ethics and Business Conduct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Caesars also maintains a Code of Ethics and Business Conduct (the “Code”) that includes standards designed to deter wrongdoing and to promote, amongst other standards, honest and ethical conduct and full, fair, accurate, timely and understandable disclosure in reports and documents that the Company files with the Securities and Exchange Commission.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Caesars’ Chief Legal Officer serves as the compliance officer of the Code and Caesars provides periodic training regarding the contents and importance of the Code.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Gaming Compliance Plan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Caesars also maintains an Amended and Restated Gaming Compliance Plan (the “Plan”), which is approved by various gaming regulators. The Plan is designed to implement procedures to enhance the likelihood that no activities of the Company or any affiliate of the Company will impugn the reputation and integrity of Caesars. The Plan also establishes a Compliance Committee that assists the Company in implementing its strict policy that its business be conducted with honesty and integrity, and in accordance with high moral, legal and ethical standards. Caesars’ Senior Vice President &amp; Assistant General Counsel – Regulatory &amp; Compliance serves as the Compliance Officer as defined by the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Stewardship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take a proactive approach to environmental sustainability through our CodeGreen strategy established in 2007, striving to improve our performance across energy and GHG emissions efficiencies, reduction of water consumption and increasing diversion of waste from landfills. Caesars recognizes the impact climate change can play both on our business and the guests we serve. Identifying, assessing, and managing the risks and opportunities therefore plays a vital role in our long-term strategic thinking on climate and water, and how we approach our CSR goals. Our goals are based in science as part of our strategy to reduce our environmental impact.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updated our Scope 1 and 2 GHG emission reduction goals to align with a 1.5-degree Celsius limit to global warming, measured against a 2019 base year. Our goals were established using an absolute contraction approach and align with published guidance from the Intergovernmental Panel on Climate Change. We also reaffirmed our publicly stated goal to become carbon neutral by 2050 with interim absolute GHG emission reduction goal of 46.2% by 2030 measured against a 2019 base year. We have updated our inventory management plan to allow for ongoing management and reporting of Scope 1 and 2 emissions in accordance with industry standards and we have updated and restated our energy and GHG emissions data dating back to 2019. Between 2019 and 2023, Caesars delivered a reduction in absolute Scopes 1 and 2 GHG emissions of 20.7%. In 2024 we also set an absolute reduction target for Scope 3 emissions of 37.5% by 2035 against a 2022 baseline.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achieve our goals, we have taken initiatives such as pursuing renewable energy sources and low-carbon options, including on site solar developments. For example, we have contracts to purchase energy from solar covered parking canopies completed at two Atlantic City properties, we installed solar covered parking at Harrah’s Pompano Beach and the Harrah’s Atlantic City convention center solar rooftop project is expected to be completed by the end of 2025. We also entered into long-term purchase power agreements for solar energy in Nevada from an on-site rooftop development at our Caesars Forum that is expected to go online by the end of 2025 as well as an off-site, utility-scale project. Our long-term goals include a continued focus on energy efficiency and conservation as well as evaluating additional renewable energy supply opportunities for each of our properties.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voluntarily participate in the CDP (formerly the Carbon Disclosure Project), an international nonprofit that runs a global disclosure system for investors, companies, and regions to manage their environmental impacts. In 2024, Caesars scored a B for both water security and for climate change.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engaged in extensive waste reduction efforts across our facilities, including recycling, food donation, and manure composting. In 2023, we estimated our total waste diversion from landfills at 44%.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Community Investment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Caesars contributes to our local communities to help them develop and prosper, through funding community projects, Team Member volunteering and cash donations from the Caesars Foundation, a private foundation funded from our operating income. In 2024, the Caesars Foundation contributed $3.4 million to communities across the United States. During 2024, our Team Members, including Team Members through our tribal partnerships volunteered over 93,000 hours through the HERO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file annual, quarterly and other current reports and information with the Securities and Exchange Commission (“SEC”). Because we submit filings to the SEC electronically, access to this information is available at the SEC’s website (www.sec.gov). This site contains reports and other information regarding issuers that file electronically with the SEC.</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our Quarterly Reports on Form 10-Q, our Current Reports on Form 8-K, and all amendments to these reports, available free of charge on our corporate website (</w:t>
      </w:r>
      <w:r>
        <w:rPr>
          <w:rFonts w:ascii="Times New Roman" w:cs="Times New Roman" w:eastAsia="Times New Roman" w:hAnsi="Times New Roman"/>
          <w:sz w:val="18"/>
          <w:szCs w:val="18"/>
          <w:i w:val="1"/>
          <w:iCs w:val="1"/>
          <w:color w:val="auto"/>
        </w:rPr>
        <w:t>www.caesars.com/corporate</w:t>
      </w:r>
      <w:r>
        <w:rPr>
          <w:rFonts w:ascii="Times New Roman" w:cs="Times New Roman" w:eastAsia="Times New Roman" w:hAnsi="Times New Roman"/>
          <w:sz w:val="18"/>
          <w:szCs w:val="18"/>
          <w:color w:val="auto"/>
        </w:rPr>
        <w:t>) as soon as reasonably practicable after such reports are filed with, or furnished to, the SEC. In addition, our Code of Ethics and Business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Conduct and charters of the Audit Committee, Compensation Committee, Corporate Social Responsibility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in this document to our website address do not incorporate by reference the information contained on the website into this Annual Report on Form 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3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reductions in discretionary consumer spending as a result of downturns in the economy and other factors outside our control;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results of operations or financial condition;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business and results of operations of our existing casino properties and prospects for future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trends, inflation and public health emergencies on our business and financial condition;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the agreements governing our outstanding indebtedness and leases;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projected debt service obligations, operating expenses, and maintenance capital expenditures;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of capital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pursue development opportunities and additional acquisitions and divestitures;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suitable acquisition opportunities and realize growth and cost synergies from any future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dispositions and divestitures and effectively reinvest the proceeds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 on our business and our ability to receive and maintain necessary approvals for our existing properties, future projects and the operation of our online sportsbook, poker and iGaming applications;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or corruption to our information technology and other systems and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compromises of our information systems or unauthorized access to confidential information and customer data;</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Data Incident (as defined below) and any other future cybersecurity breaches on our business, financial conditions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our ability to successfully operate our digital betting and iGaming platform and expand its user base;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very competitive environments in which we operate, including the online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win rates and liability management risks on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strategic relationships and essential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investments in our online offerings and technological and strategic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relating to fraud, theft and cheating;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gaming receivables from our credit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 and significant financial commitments, including our obligations under our lease arrangements;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limitations in agreements governing our debt and leased properties could significantly affect our ability to operate our business and our liquidity;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operational, regulatory or other potential challenges that may arise as a result of leasing of a number of our properties;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 on our business and the cost of complying or the impact of failing to comply with such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taxes and fees in jurisdictions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pending claims or future claims that may be brought against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capital and credit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seasonal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particular sensitivity to energy and water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our reputation or the reputation of our brands;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technology, particularly for our digital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licenses to use the intellectual property of third parties and our ability to renew or extend our existing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war, terrorist activity, acts of violence, natural disasters and other catastrophic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and changing expectations regarding our environmental, social and governance practices and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the intense competition to attract and retain management and key employees in the gaming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labor problems;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performers and other entertainment offerings on acceptable terms;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Part II, Item 1A. “Risk Factors” contained herein and our Quarterly Reports on Form 10-Q and Current Reports on Form 8-K filed with the SEC.</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1A.</w:t>
      </w:r>
      <w:r>
        <w:rPr>
          <w:sz w:val="20"/>
          <w:szCs w:val="20"/>
          <w:color w:val="auto"/>
        </w:rPr>
        <w:tab/>
      </w:r>
      <w:r>
        <w:rPr>
          <w:rFonts w:ascii="Times New Roman" w:cs="Times New Roman" w:eastAsia="Times New Roman" w:hAnsi="Times New Roman"/>
          <w:sz w:val="21"/>
          <w:szCs w:val="21"/>
          <w:b w:val="1"/>
          <w:bCs w:val="1"/>
          <w:color w:val="BF2115"/>
        </w:rPr>
        <w:t>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Operating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expect that such competition will continue.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gaming industry is highly competitive and competition is intense in most of the markets in which we operate. We compete with a variety of gaming operations, including land-based casinos, dockside casinos, riverboat casinos, casinos located on racing tracks, casinos located on Native American reservations and other forms of legalized gaming such as video gaming terminals at bars, restaurants and truck stops and online gambling and sports betting. We also compete, to a lesser extent, with other forms of legalized gaming and entertainment such as bingo, pull tab games, card parlors, sportsbooks, fantasy sports websites, cruise line operations, pari-mutuel or telephonic betting on horse racing and dog racing, state-sponsored lotteries and, in the future, may compete with gaming at other venues. In addition, we compete more generally with other forms of entertainment for the discretionary spending of our customers. In some instances, particularly in the case of Native American casinos, our competitors pay lower taxes or no taxes.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many casino and online gaming operators, including us, have reinvested in existing jurisdictions to attract new customers or to gain market share, thereby increasing competition in those jurisdictions. In particular, we and other online betting and gaming operators have undertaken extensive marketing campaigns and made significant investments in customer acquisition through pricing and promotional policies. In addition, in response to changing trends, Las Vegas operators have focused on expanding their non-gaming offerings, including upgrades to hotel rooms, new food and beverage offerings, and new entertainment offerings. The expansion of online betting and gaming in new jurisdictions and the growth of the number of competitors in the online betting and gaming market,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These competitive pressures have and are expected to continue to adversely affect our financial performance.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brick-and-mortar operations face increasing competition as a result of the expansion of legalized online gaming and betting, including our own online betting and gaming operations, in a number of the jurisdictions in which we operate. Additionally, we face new competition from sports event trading as derivatives products regulated by the Commodity Futures Trading Commission. This new competition purports to be available nationwide and is currently being offered by a growing number of providers. While we believe that we are well positioned to compete with new entrants to the betting and gaming market through our online betting and gaming offerings, the competitive dynamic is evolving and we cannot assure you that our results of operations will not be adversely impacted by the expansion of legalized online gaming and betting.</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States that already have legalized casino gaming may further expand gaming, and other states that have not yet legalized gaming such as Texas, may do so in the future. We also compete with Native American gaming operations in California and other jurisdictions where Native American tribes operate large-scale gaming facilities or otherwise conduct gaming activities on Native American lands, which we expect will continue to expand. Further expansion of legalized casino gaming in jurisdictions in or near our markets or changes to gaming laws in states in which we have operations and in states near our operations could increase competition and could adversely affect our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competition may require us to make substantial expenditures in marketing, customer development and capital projects to maintain and enhance the competitive positions of our online and brick and mortar operations to increase the attractiveness and add to the appeal of our facilities and product offerings. Because a significant portion of our cash flow is required to pay obligations under our outstanding indebtedness and our lease obligations, there can be no assurance that we will have sufficient funds to undertake, or that we will be able to obtain sufficient financing to fund, such expenditures. If we are unable to make such expenditures, our competitive position could be negatively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reductions in discretionary consumer spending as a result of downturns in the economy and other factors outside our control.</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Consumer demand for leisure activities such as casinos, hotels, racetracks, online betting, iGaming and other forms of hospitality or gambling is particularly sensitive to downturns in the economy, inflation and the associated impact on discretionary spending. Changes in discretionary consumer spending or consumer preferences brought about by factors such as perceived or actual general economic conditions, effects of declines in consumer confidence in the economy, the impact of high energy and food costs, rising interest rates, the increased cost of travel, decreased disposable consumer income and wealth, fears of war and future acts of terrorism, or widespread illnesses, epidemics, or similar public health emergencies, can have a material adverse effect on leisure and business travel, discretionary spending and other areas of economic behavior that directly impact the gaming and entertainment industries in general and could further reduce customer demand for the amenities and products that we offer. In addition, increases in gasoline prices, including increases prompted by global political and economic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instabilities, can adversely affect our casino operations because most of our patrons travel to our properties by car or on airlines that may pass on increases in fuel costs to passengers in the form of higher ticket prices.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Win rates (hold rates) for our casino operations depend on a variety of factors, some of which are beyond our control, and participation in the sports betting industry exposes us to trading, liability management and pricing risks. We may experience lower than expected profitability and potentially significant losses as a result of factors beyond our control or a failure to accurately determine odds.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gaming industry is characterized by an element of chance. Accordingly, we employ theoretical win rates to estimate what a certain type of game, on average, will win or lose in the long run. In addition to the element of chance, win rates (hold percentages) are also affected by the spread of table limits and factors that are beyond our control, such as a player’s skill, experience and behavior, the mix of games played, the financial resources of players, the volume of bets placed, and the amount of time players spend gambling. As a result of the variability in these factors, the actual win rates at our casinos may differ from the theoretical win rates we have estimated and could result in the winnings of our gaming customers exceeding those anticipated. The variability of win rates (hold rates) also has the potential to negatively impact our financial condition, results of operations, and cash flows.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fixed-odds betting products involve betting where winnings are paid on the basis of the amounts wagered and the odds quoted. Odds are determined with the objective of providing an average return to the bookmaker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to this risk. As a result we may experience (and we have from time to time experienced) significant losses with respect to individual events or betting outcomes, in particular if large individual bets are placed on an event or betting outcome or series of events or betting outcomes. Any significant losses on a gross-win basis could have a material adverse effect on our business, financial condition and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odds that we offer in our sportsbook operations may occasionally contain an obvious error. Examples of such errors are inverted lines between teams, or odds that are significantly different from the true odds of the outcome in a way that all reasonable persons would agree is an error. If regulatory restrictions do not permit us to void or re-set odds to correct odds on bets associated with large obvious errors in odds making, we could be subject to covering significant liabilities.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that are essential to the operation of our online betting and gaming business, including, player account management, geolocation and identity verification, payment processing and sports data.</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 parties to provide services that are essential to the operation of our online betting and gaming business, including player account management, geolocation and identity verification systems to ensure we comply with laws and regulations, processing deposits and withdrawals made by our online users and providing information regarding schedules, results, performance and outcomes of sporting events to determine when and how bets are settled. Additionally, we rely on third-party sports data providers, such as SportRadar and Genius Sports, among others, to obtain accurate information regarding schedules, results, performance and outcomes of sporting events for our sportsbook product. We rely on this data to determine when and how bets are settled. The software, systems and services provided by our third-party providers may not meet our expectations, contain errors or weaknesses, be compromised or 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and errors or failures by our payment processors and sports data providers could result in a failure to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any of our third-party services providers terminates its relationship with us, is unable to maintain necessary regulatory approvals,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 business, results of operations and prospects would be adversely impacted by our inability or delay in securing replacement services that are sufficient to support our online business or are on comparable terms.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digital business will depend, in part, on the success of our strategic relationships with third parties.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relationships with sports leagues and teams, media companies and other third parties in order to attract users to our offerings. For example, in 2019 we entered into an exclusive sports entertainment partnership with the NFL, making us the first ever “Official Casino Sponsor” in the history of the league. These relationships, along with providers of online services, search engines, social media, directories and other websites and e-commerce businesses direct consumers to our offerings. While we believe there are other third parties that could drive users to our online offerings, adding or transitioning to them may disrupt our business and increase our costs, and may require us to modify, limit or discontinue certain offerings. Furthermore, sports leagues, teams and venues may enter into exclusive partnerships with our competitors which could adversely affect our ability to offer certain types of wagers. In the event that any of our existing relationships or our future relationships fail to provide services to us in accordance with the terms of our arrangement, or at all, and we are not able to find suitable alternatives, our ability to cost effectively attract consumers could be impacted and our online betting and gaming business, financial condition, results of operations and prospects could be adversely affected.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business will require investments in our online offerings, technology and strategic marketing initiatives, which could be costly and negatively impact the economics of our online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online betting and gaming industry is subject to rapid and frequent changes in standards, technologies, products and service offerings, as well as in customer demands and preferences and regulations, which will require us to continually introduce and successfully implement new and innovative technologies, marketing strategies, product offerings and enhancements to remain competitive and effectively stimulate customer demand, acceptance and engagement. The process of developing new online offerings and systems is inherently complex and uncertain, and new offerings may not be well received by users, even if they are well-reviewed and of high quality. Developing new offerings and marketing strategies can also divert our management’s attention from other business issues and opportunities. New online offerings that attain market acceptance and aggressive marketing strategies implemented in the competitive online market environment could impact the mix of our existing business, including our casino business, or the share of our patron’s wallets in a manner that could negatively impact our results of operations. In addition, online betting and gaming operates in a competitive environment that requires significant investment in marketing initiatives, including free play and use of a variety of free and paid marketing channels, including television, radio, social media platforms, such as Facebook, Instagram, X (formerly known as Twitter), and other digital channels. We cannot be sure that our investments in technology, products, service offerings and marketing initiatives will be successful or generate the return on investment that we expect. We have incurred losses in the past in our digital business and cannot be sure that our profitability will continue. If new or existing competitors offer more attractive offerings or engage in marketing initiatives that are better received by customers, we may lose users or users may decrease their spending on our offerings. Further, new customer demands, superior competitive offerings, new industry standards or changes in the regulatory environment could render our offerings unattractive, unmarketable or obsolete and require us to make substantial unanticipated changes to our technology or business model. Failure to adapt to a rapidly changing market or evolving customer demands, and costs required to be incurred to react to dynamic market conditions, could harm our business, financial condition, results of operations and prospects.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fraud, theft, and cheating.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could result in losses in our operations. Negative publicity related to such acts or schemes could have an adverse effect on our reputation, potentially causing a material adverse effect on our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a portion of our customers, and we may not be able to collect gaming receivables from our credit customers.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our gaming activities on a credit and cash basis. Any such credit we extend is unsecured.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 the opinion of management, an extension of credit. These large receivables could have a significant impact on our results of operations if deemed uncollectible. Gaming debts evidenced by a credit instrument,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 reached to satisfy a judgment, judgments on gaming debts from U.S. courts are not binding on the courts of many foreign nations.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the Chinese government has taken steps to prohibit the transfer of cash for the payment of gaming debts. These developments may have the effect of reducing the collectability of gaming debts of players from China. It is unclear whether these and other measures will continue to be in effect or become more restrictive in the future. These and any future foreign currency control policy developments that may be implemented by foreign jurisdictions could significantly impact our business, financial condition and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outbreak of pandemics and other public health matters and related impacts have had, and may once again have, a significant impact on our operations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Public health issues and mitigation measures recommended or required by public health officials have had a material adverse effect on our operations. For example, all of our casino properties were temporarily closed for several weeks during 2020 due to orders issued by various government agencies and tribal bodies. Following re-opening of our properties, our operations were affected by social distancing measures, including reduced gaming operations, limitations on number of customers present in our facilities, restrictions on hotel, food and beverage outlets and limits on events that would otherwise attract customers to our properties. As required restrictions were eased, prolonged impacts on the economy, our industry and our business continued, with increased challenges arising from labor shortages, higher labor costs, supply chain challenges, increasing costs of goods and services, inflation and rising interest rates, among other impacts. The extent and duration of the impact of such measures on our business in the future is difficult to predict and could have a material adverse effect on our business, financial condition, results of operations, and cash flows.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Acts of terrorism, war, natural disasters, severe weather, and political, economic and military conditions may impede our ability to operate or may negatively impact our financial results.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Terrorist attacks and other acts of war or hostility have created many economic and political uncertainties. For example, a substantial number of the customers of our properties in Las Vegas use air travel. As a result of terrorist acts that occurred on September 11, 2001, domestic and international travel was severely disrupted, which resulted in a decrease in customer visits to our properties in Las Vegas. Visitation to Las Vegas also declined for a period of time following the mass shooting tragedy on October 1, 2017. We cannot predict the extent to which disruptions in air or other forms of travel as a result of any further terrorist act, security alerts or war, uprisings, or hostilities in places such as Iraq, Afghanistan, Israel, Ukraine, and/or Syria or other countries throughout the world, and governmental responses to those acts or hostilities, will directly or indirectly impact our business and operating results. For example, a third party that is responsible for our player account management has employees located internationally in countries impacted by such hostility and further negative developments in such countries could negatively impact our digital business. As a consequence of the threat of terrorist attacks and other acts of war or hostility in the future, premiums for a variety of insurance products have increased, and some types of insurance may no longer be available. If any such event were to affect our properties, we would likely be adversely affected.</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natural and man-made disasters such as major fires, floods, severe snowstorms, hurricanes, earthquakes, and oil spills could also adversely impact our business and operating results. Severe weather and natural disasters may increase in frequency and severity as a result of climate change. Such events could lead to the loss of use of one or more of our properties for an extended period of time and disrupt our ability to attract customers to certain of our gaming facilities. For example, our property in Lake Charles, Louisiana was closed in August 2020 until December 2022 due to damage resulting from Hurricane Laura. Inadequate insurance or lack of available insurance for these and other certain types or levels of risk could expose us to significant losses in the event that a catastrophe occurred for which we are underinsured. In most cases, we have insurance that covers portions of any losses from a natural disaster, but it is subject to deductibles and maximum payouts in many cases. Although we may be covered by insurance from a natural disaster, the timing of our receipt of insurance proceeds, if any, may be out of our control. In some cases, however, we may receive no proceeds from insurance. In addition, if such events increase in frequency and/or severity, insurance premiums may increase significantly or insurance may not be available to protect against future events. Further, if properties subject to our leases with VICI and GLPI are impacted by a casualty event, such leases require us to repair or restore the affected properties even if the cost of such repair or restoration exceeds the insurance proceeds that we receive. Under such circumstances, the rent under such leases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assurance that insurance will be available or adequate to cover all loss and damage to which our business or our assets might be subjected and the timing and receipt of insurance proceeds, if any, may be out of our control.</w:t>
      </w:r>
    </w:p>
    <w:p>
      <w:pPr>
        <w:spacing w:after="0" w:line="10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or expose us to claims.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Many investors, consumers, employees and other stakeholders are focused on ESG practices and the implications and social cost of their investments, purchases and other interactions with companies. Regulators are also focused on compliance with applicable laws. If our ESG practices and reporting do not meet investor, consumer, employee or regulator expectations, which continue to evolve, our brand, reputation and business may be negatively impacted.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ESG practices and reporting standards continue to develop, we may incur increasing costs related to ESG monitoring and reporting and compliance with ESG initiatives. We publish an annual Corporate Social Responsibility Report, which highlights, among other things, our climate change mitigation activities and how we are supporting our workforce. Our disclosures on these matters, or a failure to meet our goals or evolving expectations and requirements for ESG practices and reporting, may potentially expose us to liabilities or criticism.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achieve any ESG objective is subject to numerous risks, many of which are outside of our control. Examples of such risks include:</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low or non-carbon-based energy 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sustainability and other ESG standards that we may set;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develop and retain talent in our labor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organic growth and acquisitions or dispositions of businesses or operations.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or are perceived to be failing, to meet the standards or objectives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Our failure to comply with any applicable rules or regulations could lead to penalties and adversely impact our reputation or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regulations and greenhouse gas effects may adversely impact our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become subject to legislation and regulation regarding climate change, and compliance with any new rules could be difficult, burdensome and costly. Concerned parties, such as legislators and regulators, stockholders and nongovernmental organizations, as well as companies in many business sectors, are considering ways to reduce greenhouse gas (“GHG”) emissions. Many states have announced or adopted programs to stabilize and reduce GHG emissions and, in the past, federal legislation has been proposed in Congress. We expect to incur increased energy, environmental and other costs and capital expenditures to comply with new regulations and legislation. Further, regulation of GHG emissions may limit our customers’ ability to travel to our properties (e.g. as a result of increased fuel costs or restrictions on transport-related emissions).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subject to fluctuations due to seasonality and other factors that could result in volatility and have an adverse effect on our operating results.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may fluctuate due to seasonality and other factors. Our casino business is impacted by weather conditions that may deter or prevent customers from reaching the facilities or undertaking trips, which would particularly affect customers who are traveling longer distances to visit our properties. Our casino business can also fluctuate due to specific holidays or other significant events, particularly when the holiday falls in a different quarter than the prior year, the World Series of Poker tournament (with respect to our Las Vegas properties), city-wide conventions, a large sporting event or concert, or visits by our premium players. Our sportsbook business may also be impacted by availability or scheduling of major sporting events or the cancellation or postponement of sporting events or races, including lockouts, strikes or similar disruptions. Seasonality, holiday, or other significant events may affect our digital operations, properties or regions differently. These factors, among other things, could adversely affect our business, financial condition, and operating results, cause volatility in the trading price of our stock and impact our cash flow from quarter to quarter.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energy or water prices and a rise in these prices could harm our operating results.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large consumer of electricity, water and other energy and utility services and, therefore, higher prices may have an adverse effect on our results of operations. Accordingly, increases in water, energy and other utility costs may have a negative impact on our operating results. Additionally, higher electricity and gasoline prices that affect our customers may result in reduced visitation to our resorts and a reduction in our revenues. Further, our operations or the operations of our critical suppliers could be negatively impacted by the duration of drought conditions, or other cause of water stress or shortages, such as those experienced in the southwest United States, or other areas in which we operate. We may be indirectly impacted by regulatory requirements aimed at reducing the impacts of climate change directed at up-stream utility providers, and we could experience potentially higher utility, fuel, water and transportation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deterioration in our reputation or the reputation of our brands could adversely impact our business, financial condition, or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dependent on the quality and reputation of our Company and brands. Events beyond our control could affect the reputation of one or more of our properties, including our digital operations, or more generally impact our corporate or brand image. Other factors that could influence our reputation include the quality of the services we offer and our actions with regard to social issues such as human rights and support for local communities. Broad access to social media makes it easy for anyone to provide public feedback that can influence perceptions of us, our brands or our properties. It may be difficult to control or effectively manage negative publicity, regardless of whether it is accurate. Negative events and publicity could quickly and materially damage perceptions of us, our brands or our properties,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Information Systems and Technology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Compromises of our information systems or unauthorized access to confidential information or our customers’ personal information could materially harm our reputation and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assess and monitor the security of collection, storage, and transmission of customer information on an ongoing basis, including utilizing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had taken steps designed to safeguard our customers’ confidential personal information and important internal company data, on September 14, 2023, we announced that we identified suspicious activity in our information technology network resulting from a social engineering attack on one of our outsourced IT support vendors and that we determined that the unauthorized actor acquired a copy of, among other data, our loyalty program database, which includes driver’s license numbers and/or social security numbers for a significant number of members in the database (the “Data Incident”). We took steps to ensure that the stolen data was deleted by the unauthorized actor, implemented corrective measures, and continue to work with industry-leading third-party IT advisors to harden our systems and protect against future attacks. We also took steps to require that the specific outsourced IT support vendor involved in the matter implement corrective measures to protect against further attacks that could have posed a threat to our systems. While we took these actions, we cannot assure that the stolen data was deleted by the unauthorized actor or that our network and other systems and those of third parties, such as service providers, will not be compromised, damaged, or disrupted by a third-party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in the future. Our third-party information system service providers face risks relating to cybersecurity similar to ours, and we do not directly control any of such parties’ information security operations. As an example, the Data Incident arose from a social engineering attack on one of our outsourced IT vendors resulting in our customer information and other data being accessed by an unauthorized actor. Advances in computer and software capabilities,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encryption technology, new tools, and other developments may increase the risk of a future security breach. Any future security breach, may also result in customer information or other proprietary data being accessed or transmitted by or to a third party. Despite the measures we have implemented to safeguard our information, including actions taken following the Data Incident, there can be no assurance that we are adequately protecting our information.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Data Incident, we have become subject to multiple lawsuits and inquiries from state regulators and we may become subject to additional lawsuits, claims and inquiries related to the Data Incident. While the Data Incident did not impact our customer-facing operations, we are unable to predict the full impact of the Data Incident, including any regulatory effects or changes in guest behavior in the future, including whether a change in our guests’ behavior could negatively impact our financial condition and results of operations on an ongoing basis.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cybersecurity insurance to respond to a breach which is designed to cover expenses associated with a cybersecurity incident, including costs related to notification, credit monitoring, investigation, crisis management, public relations and legal advice. We also carry other insurance which may cover ancillary aspects of cybersecurity events. While we have submitted claims for insurance coverage relating to the costs incurred as a result of the Data Incident, we are not certain of the extent to which such coverage or third-party indemnification will cover such costs.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future data security breaches giving rise to a loss, disclosure of, misappropriation of, or access to customers’ or other proprietary information or other breach of our information security could result in additional legal claims or legal proceedings, including regulatory investigations and actions, or liability for failure to comply with privacy and information security laws, including for failure to protect personal information or for misusing personal information could damage our reputation, and expose us to additional claims from customers, financial institutions, regulators, payment card associations, employees, and other persons, any of which could have an adverse effect on our financial condition, results of operations, and cash flow. Any such damages and claims arising from a future breach may not be completely covered or may exceed the amount of any insurance available.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particularly our digital betting and gaming operations, are reliant on information technology and other systems and services, and any failures, errors, defects or disruptions in our systems or services could adversely affect our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technology infrastructure is critical to the performance of our digital betting and gaming operations and to user satisfaction and we rely significantly on our computer systems and software to receive and properly process internal and external data, including data related to Caesars Rewards. We devote significant resources to our technology infrastructure, but our systems may not be adequate to avoid performance delays or outages that could be harmful to our online business. In addition, while we believe we have taken appropriate steps, working with industry-leading third-party IT advisors, to harden our systems following the Data Incident and implement corrective measures to protect against future attacks that could pose a threat to our systems, we cannot assure you that such measures or any additional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We have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computer systems and software may fail or may contain errors, bugs, flaws or corrupted data, and these defects may only become apparent after the launch of our online products.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information systems are not fully redundant and our disaster recovery planning cannot account for all eventualities. If our systems are damaged, breached, attacked, interrupted, or otherwise cease to function properly, we may have to make a significant investment to repair or replace them, and may experience loss or corruption of critical data as well as suffer interruptions in our business operations in the interim.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we will continue to expand our online betting and gaming offerings as our user base grows and we enter into new markets, which will require an enhancement of our technical infrastructure, including network capacity and computing power, and may require additional reliance on third party providers to support the growth of our digital business and to satisfy our users’ needs. Such infrastructure expansion may be complex and costly, and unanticipated delays in completing these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online business is dependent on the Internet and we rely on Amazon Web Services and other third-party technology, platforms and services to deliver our offerings to users.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substantial portion of the infrastructure that is required to enable users to access our digital betting and gaming offerings is provided by third parties, including Internet service providers and other technology-based service providers. In particular, we currently host our online betting and gaming offerings and support our operations using Amazon Web Services (“AWS”) and other third-party technology, platforms and services. Our third-party providers may experience service interruptions, delays, outages or damage, including due to capacity constraints, an event causing an unusually high volume of Internet use (such as a pandemic or public health emergency), infrastructure changes or upgrades (such as 5G or 6G services), human or software errors, website hosting disruptions, natural disasters, cybersecurity attacks, terrorist attacks, power outages and similar events or acts of misconduct. We exercise little control over our third-party providers and any difficulties that these providers experience, including the potential of certain network traffic receiving priority over other traffic (i.e., lack of net neutrality), may adversely affect our business. Because our ability to provide our users with continuing and uninterrupted access to our platform is critical to the success of our digital business, we prioritize our efforts to ensure that our facilities and infrastructure and the facilities and infrastructure of our third-party providers support our current and expected operations and are designed to mitigate the impacts of system malfunctions. Nevertheless, there can be no guarantee that such systems will be able to meet the demand of our current and future digital business, the overall online betting and gaming industry and the growth of the Internet. Furthermore, if we do not maintain business relationships with our third-party providers, and in particular, AWS, we may not be able to secure required third-party services on terms that are acceptable to us or on an acceptable time frame. Any of these risks could result in a loss of revenue and cause us to incur unexpected costs that could be significant, which could have a material adverse effect on our online business, financial condition, results of operations and prospects.</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online business model depends upon the continued compatibility between our apps and the major mobile operating systems and upon third-party platforms for the distribution of our product offerings, which depend on factors beyond our control such as the design of third-party operating systems and continued access to our apps on third-party distribution platforms like the Apple App Store.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digital business is dependent on the interoperability of our technology with popular mobile operating systems, technologies, networks and standards as our users access our online betting and gaming product offerings primarily on mobile devices. As a result, our business model depends upon the continued compatibility between our app and the major mobile operating systems, such as the Android and iOS operating systems, and we rely upon third-party platforms for distribution of our product offerings. We do not have formal or informal relationships with parties that control design of mobile devices and operating systems and there is no guarantee that popular mobile devices will start or continue to support or feature our product offerings. Any changes, bugs, technical or regulatory issues in such operating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 In addition, if any of the third-party platforms used for distribution of our product offerings were to limit or disable the availability of our app or advertising on their platforms, our ability to generate revenue could be harmed. These changes could materially impact the way we do business, and if we are unable to adjust to those changes quickly and effectively, there could be an adverse effect on our business, financial condition, results of operations and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Human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key personnel and we may face difficulties in attracting and retaining qualified employees for our casinos and racetracks.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success will depend upon, among other things, our ability to keep our senior executives and highly qualified employees. The operation of our business requires qualified executives, managers and skilled employees with gaming and horse racing industry experience and qualifications who are able to obtain the requisite licenses and approval from the applicable gaming authorities.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operations. Moreover, there has from time to time been a</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shortage of skilled labor in our markets and the continued expansion of gaming near our facilities, including the expansion of Native American gaming and internet betting and gaming, may make it more difficult for us to attract qualified candidates.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 stoppages and other labor problems could negatively impact our future profits.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we had collective bargaining agreements covering approximately 22,000 employees. A lengthy strike or other work stoppages at any of our casino properties could have an adverse effect on our business and results of operations. New contracts, such as the ones we signed in 2023, increase our labor costs.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have also experienced attempts by labor organizations to organize certain of our non-union employees, which has achieved some past success. We cannot provide any assurance that we will not experience additional and successful union activity in the future. The impact of this union activity is undetermined and could negatively impact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be able to retain our performers and other entertainment offerings on acceptable terms or at all.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performers have drawn customers to our properties and have been a significant source of our revenue. We cannot assure you that we will be able to retain our performers or other shows on acceptable terms or at all. In addition, the third parties that we depend on for our properties’ entertainment offerings may become incapable or unwilling to provide their services at the level agreed upon or at all. Disruptions in the performance schedule can leave us without entertainment offerings, which could negatively impact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Capital Structure</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and the fact that a significant portion of our cash flow is used to make interest payments and rent payments under our debt and lease agreements could adversely affect our ability to raise additional capital to fund our operations, limit our ability to react to changes in the economy or our industry and prevent us from making debt service payments and rent payments.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we had $12.3 billion of outstanding indebtedness, in addition to leases with VICI and GLPI that require an annual rent payment of $1.3 billion in 2025 and are subject to annual escalation, including annual escalations based on the CPI.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for a description of our obligations under our leases with VICI and GLPI and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for details regarding our debt outstanding and related restrictive covenants. As a result, a significant portion of our cash flow is applied to make interest payments with respect to our outstanding debt and payments under our leases. These financial obligations may have important negative consequences for us, including:</w:t>
      </w:r>
    </w:p>
    <w:p>
      <w:pPr>
        <w:spacing w:after="0" w:line="129"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use operating cash flow in other areas of our business because we must dedicate a significant portion of these funds to make payments on our debt and lease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the markets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competitors with debt and rent obligations that are less than ours;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limiting our ability to react to, changing market conditions, public health emergencies and related public health restrictions, changes in our industry and economic downturns;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working capital requirements, capital expenditures, debt service, acquisitions, general corporate or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a number of restrictive covenants that, among other things, require us to make capital expenditures and limit our ability to pay dividends and distributions, make acquisitions and dispositions, borrow additional funds and make other investments;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due to the variable interest rate on borrowings under our credit facility;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our ability to renew gaming and other licenses necessary to conduct our business.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service our current and future levels of indebtedness will depend upon, among other things, our future financial and operating performance, which will be affected by prevailing economic conditions, including the interest rate environment and financial, business, regulatory and other factors, some of which are beyond our control.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generate sufficient cash flow from operations or that future debt or equity financings will be available to us to enable us to pay our indebtedness or to fund other needs and we may be forced to take actions such as reducing or delaying business activities, acquisitions, investments or capital expenditures, selling assets, restructuring or refinancing debt, reducing or discontinuing dividends we may pay in the future, or seeking additional equity capital. These actions may not be effected on satisfactory terms, or at all. Any inability to generate sufficient cash flow or refinance our indebtedness on favorable terms could have a material adverse effect on our business, results of operations and financial condition. While we expect to refinance or replace our debt facilities when they mature, we cannot be sure that we will be able to obtain financing on commercially reasonable terms.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including additional secured indebtedness, and may enter into financing obligations similar to our leases with VICI and GLPI in the future. As of December 31, 2024, we had $2.1 billion of borrowing capacity under our CEI Revolving Credit Facility and the Caesars Virginia Revolving Credit Facility, after consideration of $84 million in outstanding letters of credit and $46 million committed for regulatory purposes, and $40 million of other reserves which is only available for certain permitted uses. Further,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exposes us to interest rate volatility, which could cause our debt service obligations to increase significantly.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certain of our facilities are at variable rates of interest and expose us to interest rate volatility. As of December 31, 2024, $5.9 billion of aggregate principal amount of our debt had variable rates. If interest rates increase, our debt service obligations on certain of our variable rate indebtedness will increase even though the amount borrowed remains the same.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casinos are located on leased property. If we default on one or more leases, the applicable lessors could terminate the affected leases and we could lose possession of the affected casino.</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lease certain parcels of land on which a significant portion of our properties are located. As a ground lessee, we have the right to use the leased land; however, we do not hold fee ownership of the underlying land. Accordingly, we have no interest in the leased land or improvements thereon at the expiration of the ground leases. If our use of the land underlying our casino properties is disrupted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our leases with VICI and GLPI require annual rent payments of $1.3 billion in 2025, which is subject to escalation annually, and obligate us to make specified minimum capital expenditures with respect to the leased properties. If our business and properties fail to generate sufficient earnings, the payments required to service the rent obligations under our leases with VICI and GLPI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our leases with GLPI or VICI could result in a default under our debt agreements and could have a material adverse effect on our business, financial condition and results of operations. Further, in the event that any lessor of our leased properties, including GLPI or VICI, encounters financial, operational, regulatory or other challenges, there can be no assurance that such lessor will be able to comply with its obligations under the applicable lease.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leases, including our leases with VICI and GLPI,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our leases with VICI and GLPI and other ground leases even if one or more of such leased facilities is unprofitable or if we decide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governmental regulation, taxation policies and licensing, and gaming authorities have significant control over our operations, which could have an adverse effect on our business.</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Licensing Requirements</w:t>
      </w:r>
      <w:r>
        <w:rPr>
          <w:rFonts w:ascii="Times New Roman" w:cs="Times New Roman" w:eastAsia="Times New Roman" w:hAnsi="Times New Roman"/>
          <w:sz w:val="18"/>
          <w:szCs w:val="18"/>
          <w:color w:val="auto"/>
        </w:rPr>
        <w:t>. The ownership and operation of casino gaming, online betting and gaming, riverboat and horse racing facilities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federal, state and local regulation, and regulatory authorities at local, state and national levels have broad powers with respect to the licensing of gaming businesses.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In addition, we are required to provide information relating to our operations to various gaming regulatory agencies. A failure to provide accurate information could result in the imposition of fines or other penalties by the relevant regulatory authority. Furthermore, if additional laws or regulations are adopted or existing laws or regulations are amended or interpreted differently, these regulations could impose additional restrictions or costs that could have a significant adverse effect on us.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Gaming authorities with jurisdiction over our operations may, in their discretion, require the holder of any securities issued by us to file applications, be investigated, and be found suitable to own our securities, and, if a holder is found unsuitable, we can be sanctioned, including the loss of approvals that are required for us to continue our gaming operations in the relevant jurisdictions, if such unsuitable person does not timely sell our securities. Our officers, directors and key employees are also subject to similar findings of unsuitability and the gaming authorities may require us to terminate the employment of any person who refuses to file appropriate applications. See “</w:t>
      </w:r>
      <w:r>
        <w:rPr>
          <w:rFonts w:ascii="Times New Roman" w:cs="Times New Roman" w:eastAsia="Times New Roman" w:hAnsi="Times New Roman"/>
          <w:sz w:val="18"/>
          <w:szCs w:val="18"/>
          <w:u w:val="single" w:color="auto"/>
          <w:color w:val="0000FF"/>
        </w:rPr>
        <w:t>Item 1 - Gaming Licenses and Governmental Regulations</w:t>
      </w:r>
      <w:r>
        <w:rPr>
          <w:rFonts w:ascii="Times New Roman" w:cs="Times New Roman" w:eastAsia="Times New Roman" w:hAnsi="Times New Roman"/>
          <w:sz w:val="18"/>
          <w:szCs w:val="18"/>
          <w:color w:val="auto"/>
        </w:rPr>
        <w:t>” and Exhibit 99.1 for further description of the regulations to which we are subject. We may be required under applicable gaming laws and regulations to obtain approval of applicable gaming authorities to issue securities, incur debt and undertake other financing activities and our financing counterparties, including lenders, might be subject to various licensing and related approval procedures in the various jurisdictions in which we operate gaming facilities.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Compliance with Other Laws</w:t>
      </w:r>
      <w:r>
        <w:rPr>
          <w:rFonts w:ascii="Times New Roman" w:cs="Times New Roman" w:eastAsia="Times New Roman" w:hAnsi="Times New Roman"/>
          <w:sz w:val="18"/>
          <w:szCs w:val="18"/>
          <w:color w:val="auto"/>
        </w:rPr>
        <w:t>. We are also subject to a variety of other federal, state and local laws, rules, regulations and ordinances that apply to non-gaming businesses, including restrictions enacted in response to public health concerns such as pandemics, zoning, environmental, construction and land-use laws and regulations governing smoking and the serving of alcoholic beverages. Our operations have been and may again be adversely impacted by regulations enacted to limit the impact of public health concerns. In addition, legislation in various forms to ban indoor tobacco smoking has been enacted or introduced in many states and local jurisdictions, including several of the jurisdictions in which we operate. If additional restrictions are enacted in our jurisdictions, we could experience a significant decrease in gaming revenue and operating results at our properties and, particularly if such restrictions are not applicable to all competitive facilities in that gaming market, our business could be materially adversely affected. The likelihood or outcome of similar legislation in other jurisdictions and referendums in the future cannot be predicted, though any additional limitations on our operations would be expected to negatively impact our financial performance.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Regulations adopted by FINCEN require us to report currency transactions in excess of $10,000 occurring within a gaming day.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Taxation and Fees</w:t>
      </w:r>
      <w:r>
        <w:rPr>
          <w:rFonts w:ascii="Times New Roman" w:cs="Times New Roman" w:eastAsia="Times New Roman" w:hAnsi="Times New Roman"/>
          <w:sz w:val="18"/>
          <w:szCs w:val="18"/>
          <w:color w:val="auto"/>
        </w:rPr>
        <w:t>. In addition, gaming companies are generally subject to significant revenue-based taxes and fees in addition to normal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income taxes, and such taxes and fees are subject to increase at any time. We pay substantial taxes and fees with respect to our operations. Tax laws are dynamic and subject to change as new laws are passed and new interpretations of the law are issued or applied, affecting the gaming industry.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online betting and gaming business will depend on expansion of online betting and gaming into new jurisdictions and our ability to obtain required licenses.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achieve growth in our online betting and gaming business will depend, in large part, upon expansion of online betting and gaming into new jurisdictions, the terms of regulations relating to online betting and gaming and our ability to obtain required licenses. Following the 2018 decision of the U.S. Supreme Court to overturn the federal ban on sports betting, a number of jurisdictions have legalized sports betting and online gaming and we expect that additional jurisdictions may do so in the future. Our ability to further expand our sports betting and online operations is dependent on the adoption of regulations permitting such activities. However, the expansion of betting and online gaming in new jurisdictions is dependent on a number of factors that are beyond our control and there can be no assurances of when, or if, such regulations will be adopted or the terms of such regulations, including restrictions, tax rates and license fees and availability of such licenses to casino owners exclusively or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the intellectual property rights we own or may be prevented from using intellectual property necessary for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of intellectual property is part of our overall business strategy, and we regard our intellectual property to be an important element of our success. We rely primarily on trade secret, trademark, domain name, copyright, and contract law to protect the intellectual property and proprietary technology we own. We also actively pursue business opportunities in the United States and in international jurisdictions involving the licensing of our trademarks to third parties.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In addition, the laws of some foreign countries may not protect proprietary rights or intellectual property to as great an extent as do the laws of the United States. Despite our efforts to protect our proprietary rights, the unauthorized use or reproduction of our trademarks could diminish the value of our trademarks and our market acceptance, competitive advantages, or goodwill, which could adversely affect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technology contains software modules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 and, under certain open source licenses, we could be required to release the source code of our proprietary software to the public. This would allow our competitors to create similar offerings with lower development effort and time and ultimately could result in a loss of our competitive advantages.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have to rely on litigation to enforce our intellectual property rights, protect our trade secrets, determine the validity and scope of the proprietary rights of others, or defend against claims of infringement or invalidity, including with respect to technology that we believe to be “open source.” Any such litigation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or require us to enter into license agreements that may not be available on favorable terms, re-engineer our technology or discontinue or delay the provision of our offerings.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products, technologies and intellectual property that we license from third parties, for use in our business-to-business and business-to-consumers offerings. Certain of our offerings and services use intellectual property licensed from third parties and we expect that our future products will require the use of third-party intellectual property. The future success of our business may depend, in part, on our ability to obtain, retain and/or expand licenses for popular technologies and games in a competitive market. We cannot assure that third-party licenses that may be necessary or desirable for the operation of our products, or support for such licensed products and technologies, will be available to us on commercially reasonable terms, if at all. If we are unable to renew and/or expand existing licenses or obtain new licenses, including as a result of reluctance of third parties to subject themselves to regulatory review that may be required to operate as our supplier, we may be required to discontinue or limit our use of the products that include or incorporate the licensed intellectual property, which could adversely impact our business,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become involved in legal proceedings that, if adversely adjudicated or settled, could impact our business and financial condition.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are named in lawsuits or other legal proceedings relating to our respective businesses. Some of these matters involve commercial or contractual disputes, intellectual property claims, legal compliance, personal injury claims, and employment claims. As a result of the Data Incident (defined below), numerous putative class action lawsuits have been filed against us purporting to represent various classes of persons whose personal information was affected by the Data Incident.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13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1B.</w:t>
      </w:r>
      <w:r>
        <w:rPr>
          <w:sz w:val="20"/>
          <w:szCs w:val="20"/>
          <w:color w:val="auto"/>
        </w:rPr>
        <w:tab/>
      </w:r>
      <w:r>
        <w:rPr>
          <w:rFonts w:ascii="Times New Roman" w:cs="Times New Roman" w:eastAsia="Times New Roman" w:hAnsi="Times New Roman"/>
          <w:sz w:val="21"/>
          <w:szCs w:val="21"/>
          <w:b w:val="1"/>
          <w:bCs w:val="1"/>
          <w:color w:val="BF2115"/>
        </w:rPr>
        <w:t>Unresolved Staff Comments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1C.</w:t>
      </w:r>
      <w:r>
        <w:rPr>
          <w:sz w:val="20"/>
          <w:szCs w:val="20"/>
          <w:color w:val="auto"/>
        </w:rPr>
        <w:tab/>
      </w:r>
      <w:r>
        <w:rPr>
          <w:rFonts w:ascii="Times New Roman" w:cs="Times New Roman" w:eastAsia="Times New Roman" w:hAnsi="Times New Roman"/>
          <w:sz w:val="21"/>
          <w:szCs w:val="21"/>
          <w:b w:val="1"/>
          <w:bCs w:val="1"/>
          <w:color w:val="BF2115"/>
        </w:rPr>
        <w:t>Cybersecurity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cybersecurity team responsible for the development and implementation of a program intended to protect the confidentiality, integrity and availability of our critical systems and information. A component of our program is a cybersecurity Incident Response Plan (“IRP”) which has been built by the team utilizing current and historical industry knowledge and experience.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risk management procedures and processes include:</w:t>
      </w:r>
    </w:p>
    <w:p>
      <w:pPr>
        <w:spacing w:after="0" w:line="171"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to help mitigate material cybersecurity risks to our critical systems, information, services, and our broader enterprise IT environment;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team composed of IT security, IT infrastructure, and IT compliance personnel principally responsible for directing (1) our cybersecurity risk assessment processes, (2) our security processes, and (3) our response to cybersecurity incidents;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cybersecurity service providers, where appropriate, to assess, test or otherwise assist with aspects of our security processes;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information security training program for all team members as well as supplemental training on specific matters such as phishing and email security best practices;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and Security Operations Center (SOC) to respond to cybersecurity incidents;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 and response simulations at the technical level and execute tabletop response exercises at the management level;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to cover certain expenses in the event of a cybersecurity incident.</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cybersecurity team reports to the Chief Information Officer (“CIO”) and in January 2024, we hired a Chief Information Security Officer (“CISO”) with significant experience in leading cybersecurity teams to assume the leadership of management’s responsibilities and governance discussed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cybersecurity risk management processes and continue to integrate our procedures into our overall enterprise risk management program, which shares common methodologies, reporting channels and governance processes that apply across the enterprise risk management program to other legal, compliance, strategic, operational, and financial risk areas.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Incidents are investigated by the cybersecurity team as they are identified and may be resolved or escalated based upon the specific details and severity of each incident. Incidents are evaluated throughout the investigation and remediation processes and incidents determined to be insignificant may be resolved by the cybersecurity team without further escalation at that time. Incidents determined to be more severe, such as those that may have compromised the confidentiality, integrity and availability of our critical systems and information, are escalated by the cybersecurity team to notify legal counsel, our Cybersecurity &amp; Privacy Executive Steering Committee, our Board of Directors, or various regulators, as required.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team evaluates the risk profile of new third-party service providers and maintains communication channels with key third-party service providers to evaluate and respond to possible effects of incidents within a service provider’s organization. We rely on, and in certain cases require, our third parties to communicate such incidents timely.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September 14, 2023, we announced that an unauthorized actor had gained access to our information technology network as a result of a social engineering attack on an outsourced IT support vendor used by the Company, and acquired a copy of, among other data, our loyalty program database, which includes driver’s license numbers and/or social security numbers for a significant number of members in the database (“Data Incident”). After detecting suspicious activity in our information technology network, we activated our IRP, which included containment measures, and commenced an investigation of the incident. We also notified law enforcement and state gaming regulators, engaged legal counsel and other third-party incident response and cybersecurity professionals, as well as forensic professionals.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received, and continue to pursue, reimbursements from insurance carriers for costs incurred as a result of the Data Incident. Based on our assessment, the incident has not had a material impact, and we do not believe the incident has materially affected or will materially affect us, including our operations, business strategy, results of operations, or financial condition.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Data Incident, numerous putative class action lawsuits have been filed against us purporting to represent various classes of persons whose personal information was affected by the Data Incident. These class actions assert a variety of common law and statutory claims based on allegations that we failed to use reasonable security procedures and practices to safeguard customers’ personal information, and seek monetary and statutory damages, injunctive relief and other related relief. In addition to those putative class action lawsuits, individual claims have been filed or threatened against us as well.</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have also received inquiries from numerous state regulators related to the Data Incident. We are responding to these inquiries and cooperating fully with regulators.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for further discussion.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face certain ongoing risks from cybersecurity threats that, if realized, are reasonably likely to materially affect us, including our operations, business strategy, results of operations,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considers cybersecurity risk as critical to the enterprise and is responsible for reviewing our cybersecurity risk profile, including management’s design, implementation and enforcement of our cybersecurity risk management program. The Board of Directors receive periodic updates and presentations on cybersecurity topics from our CISO, supported by internal security staff and/or external experts, as part of the Board’s continuing education on topics that impact public companies.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CISO is responsible for assessing and managing our material risks from cybersecurity threats and has the primary responsibility for leading our overall cybersecurity risk management program, supervising both our internal cybersecurity personnel and external cybersecurity service providers. Our CISO has over 20 years global large-scale cybersecurity experience in managing and leading IT and cybersecurity teams. Members of the cybersecurity team hold various credentials and certificates with respect to information systems and they participate in continuing education.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CISO also supervises efforts to prevent, detect, mitigate,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2.</w:t>
      </w:r>
      <w:r>
        <w:rPr>
          <w:sz w:val="20"/>
          <w:szCs w:val="20"/>
          <w:color w:val="auto"/>
        </w:rPr>
        <w:tab/>
      </w:r>
      <w:r>
        <w:rPr>
          <w:rFonts w:ascii="Times New Roman" w:cs="Times New Roman" w:eastAsia="Times New Roman" w:hAnsi="Times New Roman"/>
          <w:sz w:val="21"/>
          <w:szCs w:val="21"/>
          <w:b w:val="1"/>
          <w:bCs w:val="1"/>
          <w:color w:val="BF2115"/>
        </w:rPr>
        <w:t>Properties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following are our properties. All amounts are approximations.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Casino</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Slot</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Table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Hotel</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420" w:type="dxa"/>
            <w:vAlign w:val="bottom"/>
            <w:gridSpan w:val="2"/>
          </w:tcPr>
          <w:p>
            <w:pPr>
              <w:ind w:left="420"/>
              <w:spacing w:after="0" w:line="162" w:lineRule="exact"/>
              <w:rPr>
                <w:sz w:val="20"/>
                <w:szCs w:val="20"/>
                <w:color w:val="auto"/>
              </w:rPr>
            </w:pPr>
            <w:r>
              <w:rPr>
                <w:rFonts w:ascii="Times New Roman" w:cs="Times New Roman" w:eastAsia="Times New Roman" w:hAnsi="Times New Roman"/>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Rooms and</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Sq. Ft.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Machines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Games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Suites</w:t>
            </w:r>
          </w:p>
        </w:tc>
        <w:tc>
          <w:tcPr>
            <w:tcW w:w="0" w:type="dxa"/>
            <w:vAlign w:val="bottom"/>
          </w:tcPr>
          <w:p>
            <w:pPr>
              <w:spacing w:after="0"/>
              <w:rPr>
                <w:sz w:val="1"/>
                <w:szCs w:val="1"/>
                <w:color w:val="auto"/>
              </w:rPr>
            </w:pPr>
          </w:p>
        </w:tc>
      </w:tr>
      <w:tr>
        <w:trPr>
          <w:trHeight w:val="211"/>
        </w:trPr>
        <w:tc>
          <w:tcPr>
            <w:tcW w:w="370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Las Vegas Segment</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0" w:type="dxa"/>
            <w:vAlign w:val="bottom"/>
            <w:gridSpan w:val="5"/>
          </w:tcPr>
          <w:p>
            <w:pPr>
              <w:ind w:left="140"/>
              <w:spacing w:after="0" w:line="175" w:lineRule="exact"/>
              <w:rPr>
                <w:sz w:val="20"/>
                <w:szCs w:val="20"/>
                <w:color w:val="auto"/>
              </w:rPr>
            </w:pPr>
            <w:r>
              <w:rPr>
                <w:rFonts w:ascii="Times New Roman" w:cs="Times New Roman" w:eastAsia="Times New Roman" w:hAnsi="Times New Roman"/>
                <w:sz w:val="16"/>
                <w:szCs w:val="16"/>
                <w:i w:val="1"/>
                <w:iCs w:val="1"/>
                <w:color w:val="auto"/>
              </w:rPr>
              <w:t>Owned-Domestic</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The Cromwell</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Flamingo Las Vegas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Horseshoe Las Vegas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The LINQ Hotel &amp; Casino</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Paris Las Vegas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Planet Hollywood Resort &amp; Casino</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78"/>
        </w:trPr>
        <w:tc>
          <w:tcPr>
            <w:tcW w:w="140" w:type="dxa"/>
            <w:vAlign w:val="bottom"/>
            <w:shd w:val="clear" w:color="auto" w:fill="CCEEFF"/>
          </w:tcPr>
          <w:p>
            <w:pPr>
              <w:spacing w:after="0"/>
              <w:rPr>
                <w:sz w:val="15"/>
                <w:szCs w:val="15"/>
                <w:color w:val="auto"/>
              </w:rPr>
            </w:pPr>
          </w:p>
        </w:tc>
        <w:tc>
          <w:tcPr>
            <w:tcW w:w="366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Leased</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Caesars Palace Las Vegas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Las Vegas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Las Vegas,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Regional Segment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0" w:type="dxa"/>
            <w:vAlign w:val="bottom"/>
            <w:gridSpan w:val="5"/>
          </w:tcPr>
          <w:p>
            <w:pPr>
              <w:ind w:left="140"/>
              <w:spacing w:after="0" w:line="175" w:lineRule="exact"/>
              <w:rPr>
                <w:sz w:val="20"/>
                <w:szCs w:val="20"/>
                <w:color w:val="auto"/>
              </w:rPr>
            </w:pPr>
            <w:r>
              <w:rPr>
                <w:rFonts w:ascii="Times New Roman" w:cs="Times New Roman" w:eastAsia="Times New Roman" w:hAnsi="Times New Roman"/>
                <w:sz w:val="16"/>
                <w:szCs w:val="16"/>
                <w:i w:val="1"/>
                <w:iCs w:val="1"/>
                <w:color w:val="auto"/>
              </w:rPr>
              <w:t>Owned-Domestic</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80"/>
              <w:spacing w:after="0" w:line="216" w:lineRule="exact"/>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Danville, VA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Circus Circus Reno</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Reno,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Eldorado Gaming Scioto Downs</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Columbus, OH</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Eldorado Resort Casino Reno</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Reno,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Grand Victoria Casino</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Elgin, IL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60" w:type="dxa"/>
            <w:vAlign w:val="bottom"/>
            <w:gridSpan w:val="4"/>
          </w:tcPr>
          <w:p>
            <w:pPr>
              <w:ind w:left="80"/>
              <w:spacing w:after="0" w:line="216" w:lineRule="exact"/>
              <w:rPr>
                <w:sz w:val="20"/>
                <w:szCs w:val="20"/>
                <w:color w:val="auto"/>
              </w:rPr>
            </w:pPr>
            <w:r>
              <w:rPr>
                <w:rFonts w:ascii="Times New Roman" w:cs="Times New Roman" w:eastAsia="Times New Roman" w:hAnsi="Times New Roman"/>
                <w:sz w:val="16"/>
                <w:szCs w:val="16"/>
                <w:color w:val="auto"/>
              </w:rPr>
              <w:t xml:space="preserve">Harrah’s Columbus Nebraska </w:t>
            </w:r>
            <w:r>
              <w:rPr>
                <w:rFonts w:ascii="Times New Roman" w:cs="Times New Roman" w:eastAsia="Times New Roman" w:hAnsi="Times New Roman"/>
                <w:sz w:val="21"/>
                <w:szCs w:val="21"/>
                <w:i w:val="1"/>
                <w:iCs w:val="1"/>
                <w:color w:val="auto"/>
                <w:vertAlign w:val="superscript"/>
              </w:rPr>
              <w:t>(b)</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Columbus, NE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Hoosier Park Racing &amp; Casino</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Anderson, IN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Horseshoe Baltimore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Baltimore, MD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Horseshoe Black Hawk</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Black Hawk, CO</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Horseshoe Indianapolis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Shelbyville, IN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Horseshoe Lake Charles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Westlake, LA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Isle of Capri Casino Boonville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Boonville, MO</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Isle of Capri Casino Lula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Lula, MS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Pompano Beach</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Pompano Beach, FL</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Lady Luck Casino - Black Hawk</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Black Hawk, CO</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Silver Legacy Resort Casino</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Reno,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178"/>
        </w:trPr>
        <w:tc>
          <w:tcPr>
            <w:tcW w:w="140" w:type="dxa"/>
            <w:vAlign w:val="bottom"/>
            <w:shd w:val="clear" w:color="auto" w:fill="CCEEFF"/>
          </w:tcPr>
          <w:p>
            <w:pPr>
              <w:spacing w:after="0"/>
              <w:rPr>
                <w:sz w:val="15"/>
                <w:szCs w:val="15"/>
                <w:color w:val="auto"/>
              </w:rPr>
            </w:pPr>
          </w:p>
        </w:tc>
        <w:tc>
          <w:tcPr>
            <w:tcW w:w="366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Leased</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Caesars Atlantic City</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Atlantic City, NJ</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line="219" w:lineRule="exact"/>
              <w:rPr>
                <w:sz w:val="20"/>
                <w:szCs w:val="20"/>
                <w:color w:val="auto"/>
              </w:rPr>
            </w:pPr>
            <w:r>
              <w:rPr>
                <w:rFonts w:ascii="Times New Roman" w:cs="Times New Roman" w:eastAsia="Times New Roman" w:hAnsi="Times New Roman"/>
                <w:sz w:val="16"/>
                <w:szCs w:val="16"/>
                <w:color w:val="auto"/>
              </w:rPr>
              <w:t xml:space="preserve">Caesars New Orleans </w:t>
            </w:r>
            <w:r>
              <w:rPr>
                <w:rFonts w:ascii="Times New Roman" w:cs="Times New Roman" w:eastAsia="Times New Roman" w:hAnsi="Times New Roman"/>
                <w:sz w:val="21"/>
                <w:szCs w:val="21"/>
                <w:i w:val="1"/>
                <w:iCs w:val="1"/>
                <w:color w:val="auto"/>
                <w:vertAlign w:val="superscript"/>
              </w:rPr>
              <w:t>(c)</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New Orleans, LA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Atlantic City</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Atlantic City, NJ</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Council Bluffs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Council Bluffs, IA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Gulf Coast</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Biloxi, MS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Joliet</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Joliet, IL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Lake Tahoe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Lake Tahoe, NV</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Laughlin</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Laughlin,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Metropolis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Metropolis, IL</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North Kansas City</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 Kansas City, MO</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Philadelphia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Chester, PA</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Harveys Lake Tahoe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Lake Tahoe,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Horseshoe Bossier City</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Bossier City, LA</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Horseshoe Council Bluffs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Council Bluffs, IA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Horseshoe Hammond</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Hammond, IN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Horseshoe St. Louis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St. Louis, MO</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Horseshoe Tunica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Tunica, MS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Isle Casino Bettendorf</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Bettendorf, IA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053"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Casino</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Slot</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Table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Hotel</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420" w:type="dxa"/>
            <w:vAlign w:val="bottom"/>
            <w:gridSpan w:val="2"/>
          </w:tcPr>
          <w:p>
            <w:pPr>
              <w:ind w:left="420"/>
              <w:spacing w:after="0" w:line="162" w:lineRule="exact"/>
              <w:rPr>
                <w:sz w:val="20"/>
                <w:szCs w:val="20"/>
                <w:color w:val="auto"/>
              </w:rPr>
            </w:pPr>
            <w:r>
              <w:rPr>
                <w:rFonts w:ascii="Times New Roman" w:cs="Times New Roman" w:eastAsia="Times New Roman" w:hAnsi="Times New Roman"/>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Rooms and</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Sq. Ft.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Machines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Games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Suites</w:t>
            </w:r>
          </w:p>
        </w:tc>
        <w:tc>
          <w:tcPr>
            <w:tcW w:w="0" w:type="dxa"/>
            <w:vAlign w:val="bottom"/>
          </w:tcPr>
          <w:p>
            <w:pPr>
              <w:spacing w:after="0"/>
              <w:rPr>
                <w:sz w:val="1"/>
                <w:szCs w:val="1"/>
                <w:color w:val="auto"/>
              </w:rPr>
            </w:pPr>
          </w:p>
        </w:tc>
      </w:tr>
      <w:tr>
        <w:trPr>
          <w:trHeight w:val="208"/>
        </w:trPr>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Isle Casino Waterloo</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Waterloo, IA</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Trop Casino Greenville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Greenville, MS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Tropicana Atlantic City</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Atlantic City, NJ</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Tropicana Laughlin Hotel &amp; Casino</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Laughlin, NV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Managed and Branded Segment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0" w:type="dxa"/>
            <w:vAlign w:val="bottom"/>
            <w:gridSpan w:val="5"/>
          </w:tcPr>
          <w:p>
            <w:pPr>
              <w:ind w:left="140"/>
              <w:spacing w:after="0" w:line="175" w:lineRule="exact"/>
              <w:rPr>
                <w:sz w:val="20"/>
                <w:szCs w:val="20"/>
                <w:color w:val="auto"/>
              </w:rPr>
            </w:pPr>
            <w:r>
              <w:rPr>
                <w:rFonts w:ascii="Times New Roman" w:cs="Times New Roman" w:eastAsia="Times New Roman" w:hAnsi="Times New Roman"/>
                <w:sz w:val="16"/>
                <w:szCs w:val="16"/>
                <w:i w:val="1"/>
                <w:iCs w:val="1"/>
                <w:color w:val="auto"/>
              </w:rPr>
              <w:t>Managed</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Ak-Chin</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Phoenix, AZ</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Cherokee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Cherokee, NC</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Cherokee Valley River</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Murphy, NC</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Harrah’s Resort Southern California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Funner, CA</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Caesars Windsor</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Canada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176"/>
        </w:trPr>
        <w:tc>
          <w:tcPr>
            <w:tcW w:w="3800" w:type="dxa"/>
            <w:vAlign w:val="bottom"/>
            <w:gridSpan w:val="5"/>
          </w:tcPr>
          <w:p>
            <w:pPr>
              <w:ind w:left="140"/>
              <w:spacing w:after="0" w:line="175" w:lineRule="exact"/>
              <w:rPr>
                <w:sz w:val="20"/>
                <w:szCs w:val="20"/>
                <w:color w:val="auto"/>
              </w:rPr>
            </w:pPr>
            <w:r>
              <w:rPr>
                <w:rFonts w:ascii="Times New Roman" w:cs="Times New Roman" w:eastAsia="Times New Roman" w:hAnsi="Times New Roman"/>
                <w:sz w:val="16"/>
                <w:szCs w:val="16"/>
                <w:i w:val="1"/>
                <w:iCs w:val="1"/>
                <w:color w:val="auto"/>
              </w:rPr>
              <w:t>Branded</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80"/>
              <w:spacing w:after="0" w:line="216" w:lineRule="exact"/>
              <w:rPr>
                <w:sz w:val="20"/>
                <w:szCs w:val="20"/>
                <w:color w:val="auto"/>
              </w:rPr>
            </w:pPr>
            <w:r>
              <w:rPr>
                <w:rFonts w:ascii="Times New Roman" w:cs="Times New Roman" w:eastAsia="Times New Roman" w:hAnsi="Times New Roman"/>
                <w:sz w:val="16"/>
                <w:szCs w:val="16"/>
                <w:color w:val="auto"/>
              </w:rPr>
              <w:t xml:space="preserve">Caesars Republic Scottsdale </w:t>
            </w:r>
            <w:r>
              <w:rPr>
                <w:rFonts w:ascii="Times New Roman" w:cs="Times New Roman" w:eastAsia="Times New Roman" w:hAnsi="Times New Roman"/>
                <w:sz w:val="21"/>
                <w:szCs w:val="21"/>
                <w:i w:val="1"/>
                <w:iCs w:val="1"/>
                <w:color w:val="auto"/>
                <w:vertAlign w:val="superscript"/>
              </w:rPr>
              <w:t>(d)</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Scottsdale, AZ</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Caesars Southern Indiana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Elizabeth, IN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Harrah’s Northern California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Ione, CA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The construction of the permanent facility of Caesars Virginia was complete and opened on December 17, 2024.</w:t>
      </w:r>
    </w:p>
    <w:p>
      <w:pPr>
        <w:spacing w:after="0" w:line="43" w:lineRule="exact"/>
        <w:rPr>
          <w:rFonts w:ascii="Times New Roman" w:cs="Times New Roman" w:eastAsia="Times New Roman" w:hAnsi="Times New Roman"/>
          <w:sz w:val="19"/>
          <w:szCs w:val="19"/>
          <w:i w:val="1"/>
          <w:iCs w:val="1"/>
          <w:color w:val="212529"/>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construction of the permanent facility of Harrah’s Columbus Nebraska was complete and opened on May 17, 2024.</w:t>
      </w:r>
    </w:p>
    <w:p>
      <w:pPr>
        <w:spacing w:after="0" w:line="50" w:lineRule="exact"/>
        <w:rPr>
          <w:rFonts w:ascii="Times New Roman" w:cs="Times New Roman" w:eastAsia="Times New Roman" w:hAnsi="Times New Roman"/>
          <w:sz w:val="9"/>
          <w:szCs w:val="9"/>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Company completed the rebranding of Harrah’s New Orleans to Caesars New Orleans on October 22, 2024.</w:t>
      </w:r>
    </w:p>
    <w:p>
      <w:pPr>
        <w:spacing w:after="0" w:line="40" w:lineRule="exact"/>
        <w:rPr>
          <w:rFonts w:ascii="Times New Roman" w:cs="Times New Roman" w:eastAsia="Times New Roman" w:hAnsi="Times New Roman"/>
          <w:sz w:val="9"/>
          <w:szCs w:val="9"/>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Company opened Caesars Republic Scottsdale on March 6, 2024.</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On December 12, 2024, we sold the LINQ Promenade, which is an open-air dining, entertainment, and retail promenade next to The LINQ Hotel &amp; Casino (the “LINQ”). We continue to operate the High Roller, a 550-foot observation wheel, and the Fly LINQ Zipline attraction, located on the east side of the Las Vegas Strip next to the LINQ. We own and operate the CAESARS FORUM which is a 550,000 square feet conference center with 300,000 square feet of flexible meeting space, two of the largest pillarless ballrooms in the world and direct access to the LINQ. We also opened our first non-gaming hotel experience in the United States on March 6, 2024 at Caesars Republic Scottsdale featuring approximately 270 hotel rooms, approximately 20,000 square feet of event space and hotel amenities including, pools, bars, lounges, and celebrity partnered restaurants.</w:t>
      </w:r>
    </w:p>
    <w:p>
      <w:pPr>
        <w:spacing w:after="0" w:line="13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3.</w:t>
      </w:r>
      <w:r>
        <w:rPr>
          <w:sz w:val="20"/>
          <w:szCs w:val="20"/>
          <w:color w:val="auto"/>
        </w:rPr>
        <w:tab/>
      </w:r>
      <w:r>
        <w:rPr>
          <w:rFonts w:ascii="Times New Roman" w:cs="Times New Roman" w:eastAsia="Times New Roman" w:hAnsi="Times New Roman"/>
          <w:sz w:val="21"/>
          <w:szCs w:val="21"/>
          <w:b w:val="1"/>
          <w:bCs w:val="1"/>
          <w:color w:val="BF2115"/>
        </w:rPr>
        <w:t>Legal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discussion of our “Legal Proceedings,” refer to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our Financial Statements located elsewhere in this Annual Report on Form 10-K.</w:t>
      </w:r>
    </w:p>
    <w:p>
      <w:pPr>
        <w:spacing w:after="0" w:line="17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4.</w:t>
      </w:r>
      <w:r>
        <w:rPr>
          <w:sz w:val="20"/>
          <w:szCs w:val="20"/>
          <w:color w:val="auto"/>
        </w:rPr>
        <w:tab/>
      </w:r>
      <w:r>
        <w:rPr>
          <w:rFonts w:ascii="Times New Roman" w:cs="Times New Roman" w:eastAsia="Times New Roman" w:hAnsi="Times New Roman"/>
          <w:sz w:val="21"/>
          <w:szCs w:val="21"/>
          <w:b w:val="1"/>
          <w:bCs w:val="1"/>
          <w:color w:val="BF2115"/>
        </w:rPr>
        <w:t>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BF2115"/>
        </w:rPr>
        <w:t>PART II</w:t>
      </w:r>
    </w:p>
    <w:p>
      <w:pPr>
        <w:spacing w:after="0" w:line="166" w:lineRule="exact"/>
        <w:rPr>
          <w:sz w:val="20"/>
          <w:szCs w:val="20"/>
          <w:color w:val="auto"/>
        </w:rPr>
      </w:pPr>
    </w:p>
    <w:p>
      <w:pPr>
        <w:jc w:val="both"/>
        <w:ind w:left="1140" w:hanging="1295"/>
        <w:spacing w:after="0" w:line="275" w:lineRule="auto"/>
        <w:tabs>
          <w:tab w:leader="none" w:pos="1120" w:val="left"/>
        </w:tabs>
        <w:rPr>
          <w:sz w:val="20"/>
          <w:szCs w:val="20"/>
          <w:color w:val="auto"/>
        </w:rPr>
      </w:pPr>
      <w:r>
        <w:rPr>
          <w:rFonts w:ascii="Times New Roman" w:cs="Times New Roman" w:eastAsia="Times New Roman" w:hAnsi="Times New Roman"/>
          <w:sz w:val="22"/>
          <w:szCs w:val="22"/>
          <w:b w:val="1"/>
          <w:bCs w:val="1"/>
          <w:color w:val="BF2115"/>
        </w:rPr>
        <w:t>Item 5.</w:t>
      </w:r>
      <w:r>
        <w:rPr>
          <w:sz w:val="20"/>
          <w:szCs w:val="20"/>
          <w:color w:val="auto"/>
        </w:rPr>
        <w:tab/>
      </w:r>
      <w:r>
        <w:rPr>
          <w:rFonts w:ascii="Times New Roman" w:cs="Times New Roman" w:eastAsia="Times New Roman" w:hAnsi="Times New Roman"/>
          <w:sz w:val="22"/>
          <w:szCs w:val="22"/>
          <w:b w:val="1"/>
          <w:bCs w:val="1"/>
          <w:color w:val="BF2115"/>
        </w:rPr>
        <w:t>Market for Registrants’ Common Equity, Related Stockholder Matters and Issuer Purchases of Equity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Stock Market under the symbol “CZR”. As of February 20, 2025, there were approximately 288 holders of record of our common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and will depend upon, among other things, our future earnings, operations and capital requirements, our general financial condition, general business conditions and restrictions that may be in place under our borrowing arrangements or existing lease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equity compensation plan information required by this item are incorporated by reference to the information in Part III, Item 12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share repurchases during the three months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 Purchased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 Announced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jc w:val="center"/>
              <w:ind w:right="40"/>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Under the Plans or Programs </w:t>
            </w:r>
            <w:r>
              <w:rPr>
                <w:rFonts w:ascii="Times New Roman" w:cs="Times New Roman" w:eastAsia="Times New Roman" w:hAnsi="Times New Roman"/>
                <w:sz w:val="14"/>
                <w:szCs w:val="14"/>
                <w:b w:val="1"/>
                <w:bCs w:val="1"/>
                <w:i w:val="1"/>
                <w:iCs w:val="1"/>
                <w:color w:val="auto"/>
              </w:rPr>
              <w:t>(in</w:t>
            </w:r>
          </w:p>
        </w:tc>
        <w:tc>
          <w:tcPr>
            <w:tcW w:w="0" w:type="dxa"/>
            <w:vAlign w:val="bottom"/>
          </w:tcPr>
          <w:p>
            <w:pPr>
              <w:spacing w:after="0"/>
              <w:rPr>
                <w:sz w:val="1"/>
                <w:szCs w:val="1"/>
                <w:color w:val="auto"/>
              </w:rPr>
            </w:pPr>
          </w:p>
        </w:tc>
      </w:tr>
      <w:tr>
        <w:trPr>
          <w:trHeight w:val="203"/>
        </w:trPr>
        <w:tc>
          <w:tcPr>
            <w:tcW w:w="3220" w:type="dxa"/>
            <w:vAlign w:val="bottom"/>
            <w:gridSpan w:val="2"/>
            <w:vMerge w:val="continue"/>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millions) </w:t>
            </w:r>
            <w:r>
              <w:rPr>
                <w:rFonts w:ascii="Times New Roman" w:cs="Times New Roman" w:eastAsia="Times New Roman" w:hAnsi="Times New Roman"/>
                <w:sz w:val="9"/>
                <w:szCs w:val="9"/>
                <w:b w:val="1"/>
                <w:bCs w:val="1"/>
                <w:i w:val="1"/>
                <w:iCs w:val="1"/>
                <w:color w:val="auto"/>
              </w:rPr>
              <w:t>(a)</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to October 31, 2024</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2024 to November 30,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2024 to December 31,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1,262,990</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1,262,990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jc w:val="both"/>
        <w:ind w:left="340" w:hanging="332"/>
        <w:spacing w:after="0" w:line="276" w:lineRule="auto"/>
        <w:tabs>
          <w:tab w:leader="none" w:pos="327" w:val="left"/>
        </w:tabs>
        <w:numPr>
          <w:ilvl w:val="0"/>
          <w:numId w:val="11"/>
        </w:numPr>
        <w:rPr>
          <w:rFonts w:ascii="Times New Roman" w:cs="Times New Roman" w:eastAsia="Times New Roman" w:hAnsi="Times New Roman"/>
          <w:sz w:val="9"/>
          <w:szCs w:val="9"/>
          <w:i w:val="1"/>
          <w:iCs w:val="1"/>
          <w:color w:val="212529"/>
        </w:rPr>
      </w:pPr>
      <w:r>
        <w:rPr>
          <w:rFonts w:ascii="Times New Roman" w:cs="Times New Roman" w:eastAsia="Times New Roman" w:hAnsi="Times New Roman"/>
          <w:sz w:val="14"/>
          <w:szCs w:val="14"/>
          <w:i w:val="1"/>
          <w:iCs w:val="1"/>
          <w:color w:val="auto"/>
        </w:rPr>
        <w:t>On October 2, 2024, we announced that our Board of Directors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we are required to repurchase under the 2024 Share Repurchase Program. All share repurchases under the 2024 Share Repurchase Program are retired upon repurchase.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depicted below compares the cumulative total stockholder return on our common stock with the cumulative total return on the Standard &amp; Poor's 500 Stock Index (“S&amp;P 500”) and the Dow Jones U.S. Gambling Total Stock Market Index (“Dow Jones U.S. Gambling”) for the period beginning on December 31, 2019 and ending on December 31, 2024. NASDAQ OMX furnished the data. The performance graph assumes a $100 investment in our stock and each of the two indices, respectively, on December 31, 2019, and that all dividends were reinvested. Stock price performance, presented for the period from December 31, 2019 to December 31, 2024, is not necessarily indicative of future results.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680085</wp:posOffset>
            </wp:positionV>
            <wp:extent cx="5143500" cy="3429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graph should not be deemed filed or incorporated by reference into any other of our filings under the Securities Act or the Exchange Act, unless we specifically incorporate the performance graph by reference therein.</w:t>
      </w:r>
    </w:p>
    <w:p>
      <w:pPr>
        <w:spacing w:after="0" w:line="10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6.</w:t>
      </w:r>
      <w:r>
        <w:rPr>
          <w:sz w:val="20"/>
          <w:szCs w:val="20"/>
          <w:color w:val="auto"/>
        </w:rPr>
        <w:tab/>
      </w:r>
      <w:r>
        <w:rPr>
          <w:rFonts w:ascii="Times New Roman" w:cs="Times New Roman" w:eastAsia="Times New Roman" w:hAnsi="Times New Roman"/>
          <w:sz w:val="21"/>
          <w:szCs w:val="21"/>
          <w:b w:val="1"/>
          <w:bCs w:val="1"/>
          <w:color w:val="BF2115"/>
        </w:rPr>
        <w:t>[Reserved]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used.</w:t>
      </w:r>
    </w:p>
    <w:p>
      <w:pPr>
        <w:spacing w:after="0" w:line="17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7.</w:t>
      </w:r>
      <w:r>
        <w:rPr>
          <w:sz w:val="20"/>
          <w:szCs w:val="20"/>
          <w:color w:val="auto"/>
        </w:rPr>
        <w:tab/>
      </w:r>
      <w:r>
        <w:rPr>
          <w:rFonts w:ascii="Times New Roman" w:cs="Times New Roman" w:eastAsia="Times New Roman" w:hAnsi="Times New Roman"/>
          <w:sz w:val="21"/>
          <w:szCs w:val="21"/>
          <w:b w:val="1"/>
          <w:bCs w:val="1"/>
          <w:color w:val="BF2115"/>
        </w:rPr>
        <w:t>Management’s Discussion and Analysis of Financial Condition and Results of Operations</w:t>
      </w:r>
    </w:p>
    <w:p>
      <w:pPr>
        <w:spacing w:after="0" w:line="16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and is qualified in its entirety by, the audited consolidated financial statements and the notes thereto and other financial information included elsewhere in this Annual Report on Form 10-K.</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Entertainment, Inc., a Delaware corporation, and its subsidiaries, may be referred to as the “Company,” “CEI,” “Caesars,” “we,” “our,” “us,” or the “Registrant.”</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w:t>
      </w:r>
      <w:r>
        <w:rPr>
          <w:rFonts w:ascii="Times New Roman" w:cs="Times New Roman" w:eastAsia="Times New Roman" w:hAnsi="Times New Roman"/>
          <w:sz w:val="18"/>
          <w:szCs w:val="18"/>
          <w:i w:val="1"/>
          <w:iCs w:val="1"/>
          <w:u w:val="single" w:color="auto"/>
          <w:color w:val="0000FF"/>
        </w:rPr>
        <w:t>Item 8</w:t>
      </w:r>
      <w:r>
        <w:rPr>
          <w:rFonts w:ascii="Times New Roman" w:cs="Times New Roman" w:eastAsia="Times New Roman" w:hAnsi="Times New Roman"/>
          <w:sz w:val="18"/>
          <w:szCs w:val="18"/>
          <w:i w:val="1"/>
          <w:iCs w:val="1"/>
          <w:color w:val="auto"/>
        </w:rPr>
        <w:t>.</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w:t>
      </w:r>
      <w:r>
        <w:rPr>
          <w:rFonts w:ascii="Times New Roman" w:cs="Times New Roman" w:eastAsia="Times New Roman" w:hAnsi="Times New Roman"/>
          <w:sz w:val="18"/>
          <w:szCs w:val="18"/>
          <w:color w:val="212529"/>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2021. O</w:t>
      </w:r>
      <w:r>
        <w:rPr>
          <w:rFonts w:ascii="Times New Roman" w:cs="Times New Roman" w:eastAsia="Times New Roman" w:hAnsi="Times New Roman"/>
          <w:sz w:val="18"/>
          <w:szCs w:val="18"/>
          <w:color w:val="000000"/>
        </w:rPr>
        <w:t>ur ticker symbol on the NASDAQ Stock Market is “CZR.”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own, lease or manage an aggregate of 53 domestic properties in 18 states with approximately 51,400 slot machines, video lottery terminals and e-tables, approximately 2,800 table games and approximately 45,600 hotel rooms as of December 31, 2024. In addition, we have other properties in North America that are authorized to use the brands and marks of Caesars Entertainment, Inc. Our primary source of revenue is generated by our gaming operations, which includes retail and online sports betting and online gaming. Additionally, we utilize our hotels, restaurants, bars, entertainment, racing, retail shops and other services to attract customers to our properties.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(together with the GLPI Master Lease, the “GLPI Leases”). See descriptions below under the “GLPI Leases” and “VICI Leases.”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and conduct retail and online sports wagering across 32 jurisdictions in North America, 26 of which offer online sports betting. Additionally, we operate iGaming in five jurisdictions in North America. The map below illustrates Caesars Digital’s presence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4671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3590" cy="467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partnership with NYRABets LLC, the official online wagering platform of the New York Racing Association, Inc., and operate the Caesars Racebook app in 22 states as of December 31, 2024.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in the process of continuing the expansion of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We periodically divest assets to raise capital or, in previous cases, to comply with conditions, terms, obligations or restrictions imposed by antitrust, gaming and other regulatory entities. The following is a summary of divestitures completed during the years ended December 31,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20" w:type="dxa"/>
            <w:vAlign w:val="bottom"/>
          </w:tcPr>
          <w:p>
            <w:pPr>
              <w:spacing w:after="0"/>
              <w:rPr>
                <w:sz w:val="18"/>
                <w:szCs w:val="18"/>
                <w:color w:val="auto"/>
              </w:rPr>
            </w:pPr>
          </w:p>
        </w:tc>
        <w:tc>
          <w:tcPr>
            <w:tcW w:w="516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Property/Assets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 Sold</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Sales Price</w:t>
            </w: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Regional</w:t>
            </w:r>
          </w:p>
        </w:tc>
        <w:tc>
          <w:tcPr>
            <w:tcW w:w="8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Belle of Baton Rouge Casino &amp; Hotel (“Baton Rouge”)</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5, 2022</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Caesars Digital</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World Series of Poker (“WSOP”) Trademark</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29, 2024</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$500 million</w:t>
            </w:r>
          </w:p>
        </w:tc>
      </w:tr>
      <w:tr>
        <w:trPr>
          <w:trHeight w:val="219"/>
        </w:trPr>
        <w:tc>
          <w:tcPr>
            <w:tcW w:w="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Las Vegas</w:t>
            </w:r>
          </w:p>
        </w:tc>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LINQ Promenade</w:t>
            </w:r>
          </w:p>
        </w:tc>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12, 2024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 million</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Discontinued operations:</w:t>
            </w:r>
          </w:p>
        </w:tc>
        <w:tc>
          <w:tcPr>
            <w:tcW w:w="5160" w:type="dxa"/>
            <w:vAlign w:val="bottom"/>
            <w:tcBorders>
              <w:bottom w:val="single" w:sz="8" w:color="CCEEFF"/>
            </w:tcBorders>
            <w:gridSpan w:val="2"/>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William Hill International</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1, 2022</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billion</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divestitures above, the operations of Rio All-Suite Hotel &amp; Casino (“Rio”) were assumed by the lessor on October 2, 2023, and we exited our management agreement with Caesars Dubai on November 16, 2023. See </w:t>
      </w:r>
      <w:r>
        <w:rPr>
          <w:rFonts w:ascii="Times New Roman" w:cs="Times New Roman" w:eastAsia="Times New Roman" w:hAnsi="Times New Roman"/>
          <w:sz w:val="18"/>
          <w:szCs w:val="18"/>
          <w:u w:val="single" w:color="auto"/>
          <w:color w:val="0000FF"/>
        </w:rPr>
        <w:t>Item 8. Financial Statements and Supplementary Data — Note 3</w:t>
      </w:r>
      <w:r>
        <w:rPr>
          <w:rFonts w:ascii="Times New Roman" w:cs="Times New Roman" w:eastAsia="Times New Roman" w:hAnsi="Times New Roman"/>
          <w:sz w:val="18"/>
          <w:szCs w:val="18"/>
          <w:color w:val="auto"/>
        </w:rPr>
        <w:t xml:space="preserve"> for further discussion on these key transactions and any applicable gain (loss) or impairment charges recorded.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Partnerships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investments in unconsolidated affiliates accounted for under the equity method which are recorded in Investment in and advances to unconsolidated affiliates on the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Pompano Joint Venture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2018, we entered into a joint venture with Cordish Companies (“Cordish”) to plan and develop a mixed-use entertainment and hospitality destination expected to be located on unused land adjacent to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our Statements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recorded income related to the investment of $64 million, primarily due to the joint venture’s gain on the sale of land. During the year ended December 31, 2024, we received distributions of $39 million and recorded $11 million of income related to our investment due to the joint venture’s gain on the sale of a land parcel. As of December 31, 2024 and 2023, our investment in the joint venture was $119 million and $147 million, respectively, and is recorded in Investment in and advances to unconsolidated affiliates on the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 See </w:t>
      </w:r>
      <w:r>
        <w:rPr>
          <w:rFonts w:ascii="Times New Roman" w:cs="Times New Roman" w:eastAsia="Times New Roman" w:hAnsi="Times New Roman"/>
          <w:sz w:val="18"/>
          <w:szCs w:val="18"/>
          <w:u w:val="single" w:color="auto"/>
          <w:color w:val="0000FF"/>
        </w:rPr>
        <w:t>Item 2. “Properties”</w:t>
      </w:r>
      <w:r>
        <w:rPr>
          <w:rFonts w:ascii="Times New Roman" w:cs="Times New Roman" w:eastAsia="Times New Roman" w:hAnsi="Times New Roman"/>
          <w:sz w:val="18"/>
          <w:szCs w:val="18"/>
          <w:color w:val="auto"/>
        </w:rPr>
        <w:t xml:space="preserve"> for listing of properties by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information included in this Item 7 for the periods after the Company’s divestiture of various properties or assets, described above, is not fully comparable to the periods prior to the date of divestiture.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increased competition, as well as by factors or trends discussed elsewhere herein. We recommend that you read this MD&amp;A together with our audited consolidated financial statements and the notes to those statements included in this Annual Report on Form 10-K.</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Metrics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 of revenue is generated by our gaming operations, which includes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games hold percentage is typically in the range of approximately 16% to 23% of table games drop in both the Las Vegas and Regional segments.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See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xml:space="preserve"> section below. Complimentary and discounted rooms are treated as occupied rooms in our calculation of hotel occupancy. The key metrics we utilize to measure our profitability and performance are Adjusted EBITDA and Adjusted EBITDA margin.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highlights the significant factors impacting our financial results during the years ended December 31, 2024 and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Divestitures and Discontinued Operations</w:t>
      </w:r>
    </w:p>
    <w:p>
      <w:pPr>
        <w:spacing w:after="0" w:line="171" w:lineRule="exact"/>
        <w:rPr>
          <w:sz w:val="20"/>
          <w:szCs w:val="20"/>
          <w:color w:val="auto"/>
        </w:rPr>
      </w:pPr>
    </w:p>
    <w:p>
      <w:pPr>
        <w:ind w:left="660" w:right="20" w:hanging="328"/>
        <w:spacing w:after="0" w:line="284"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Divestitures and Discontinued Operations – </w:t>
      </w: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Overview</w:t>
      </w:r>
      <w:r>
        <w:rPr>
          <w:rFonts w:ascii="Times New Roman" w:cs="Times New Roman" w:eastAsia="Times New Roman" w:hAnsi="Times New Roman"/>
          <w:sz w:val="18"/>
          <w:szCs w:val="18"/>
          <w:color w:val="auto"/>
        </w:rPr>
        <w:t>” section above for detail of properties or assets divested, including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w:t>
      </w:r>
    </w:p>
    <w:p>
      <w:pPr>
        <w:spacing w:after="0" w:line="10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color w:val="auto"/>
        </w:rPr>
        <w:t>On October 29, 2024, we sold the WSOP trademark to NSUS Group Inc. (“NSUS”) for total consideration of $500 million which included $250 million in cash at closing and a $250 million note receivable. As a result of the sale, we recorded a gain of $317 million in Transaction and other costs, net in the Statements of Operations. Concurrent with signing the sale agreement, we entered into licensing agreements with NSUS that allows us to continue our current operations within the United States, including the WSOP’s live tournament series in Las Vegas for the next 20 years.</w:t>
      </w:r>
    </w:p>
    <w:p>
      <w:pPr>
        <w:spacing w:after="0" w:line="129" w:lineRule="exact"/>
        <w:rPr>
          <w:rFonts w:ascii="Times New Roman" w:cs="Times New Roman" w:eastAsia="Times New Roman" w:hAnsi="Times New Roman"/>
          <w:sz w:val="18"/>
          <w:szCs w:val="18"/>
          <w:b w:val="1"/>
          <w:bCs w:val="1"/>
          <w:color w:val="212529"/>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color w:val="auto"/>
        </w:rPr>
        <w:t>On December 12, 2024, we sold the LINQ Promenade to a joint venture between TPG Real Estate (“TPG”) and the Investment Management Platform of Acadia Realty Trust (“Acadia”) for $275 million, resulting in a gain of $34 million, which was recorded in Transaction and other costs, net in the Statements of Operations.</w:t>
      </w:r>
    </w:p>
    <w:p>
      <w:pPr>
        <w:spacing w:after="0" w:line="121" w:lineRule="exact"/>
        <w:rPr>
          <w:rFonts w:ascii="Times New Roman" w:cs="Times New Roman" w:eastAsia="Times New Roman" w:hAnsi="Times New Roman"/>
          <w:sz w:val="18"/>
          <w:szCs w:val="18"/>
          <w:b w:val="1"/>
          <w:bCs w:val="1"/>
          <w:color w:val="212529"/>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operations of Rio were assumed by the lessor on October 2, 2023, and we exited our management agreement with Caesars Dubai on November 16,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Transactions</w:t>
      </w:r>
    </w:p>
    <w:p>
      <w:pPr>
        <w:spacing w:after="0" w:line="171" w:lineRule="exact"/>
        <w:rPr>
          <w:sz w:val="20"/>
          <w:szCs w:val="20"/>
          <w:color w:val="auto"/>
        </w:rPr>
      </w:pPr>
    </w:p>
    <w:p>
      <w:pPr>
        <w:jc w:val="both"/>
        <w:ind w:left="660" w:hanging="328"/>
        <w:spacing w:after="0" w:line="267" w:lineRule="auto"/>
        <w:tabs>
          <w:tab w:leader="none" w:pos="655" w:val="left"/>
        </w:tabs>
        <w:numPr>
          <w:ilvl w:val="0"/>
          <w:numId w:val="14"/>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auto"/>
        </w:rPr>
        <w:t xml:space="preserve">Debt Transactions </w:t>
      </w:r>
      <w:r>
        <w:rPr>
          <w:rFonts w:ascii="Times New Roman" w:cs="Times New Roman" w:eastAsia="Times New Roman" w:hAnsi="Times New Roman"/>
          <w:sz w:val="18"/>
          <w:szCs w:val="18"/>
          <w:color w:val="auto"/>
        </w:rPr>
        <w:t>– We continue to utilize free cash flow to reduce our leverage, extend the maturity of our outstanding debt, lower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and balance our mix of fixed and variable debt. Key financing transactions that occurred during the year ended December 31, 2024, are summarized below. See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for further discussion.</w:t>
      </w:r>
    </w:p>
    <w:p>
      <w:pPr>
        <w:spacing w:after="0" w:line="121" w:lineRule="exact"/>
        <w:rPr>
          <w:rFonts w:ascii="Times New Roman" w:cs="Times New Roman" w:eastAsia="Times New Roman" w:hAnsi="Times New Roman"/>
          <w:sz w:val="18"/>
          <w:szCs w:val="18"/>
          <w:b w:val="1"/>
          <w:bCs w:val="1"/>
          <w:i w:val="1"/>
          <w:iCs w:val="1"/>
          <w:color w:val="212529"/>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$5.5 billion of aggregate principal debt to repay or extend the maturities of outstanding debt in the amount of $5.5 billion.</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voluntary repayments of aggregate principal debt in the amount of $400 million using cash on hand.</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interest rate margins on the CEI Term Loan B and the CEI Term Loan B-1 to 2.25% per annum in the case of any Term SOFR loan and 1.25% per annum in the case of any Base Rate loan.</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Caesars Virginia, LLC entered into a $425 million credit facility, utilizing $295 million as of December 31, 2024.</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we recorded extinguishment charges of $89 million as a result of the transactions described above, which is recorded within Loss on extinguishment of debt on the Statements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Significant Factors</w:t>
      </w:r>
    </w:p>
    <w:p>
      <w:pPr>
        <w:spacing w:after="0" w:line="171" w:lineRule="exact"/>
        <w:rPr>
          <w:sz w:val="20"/>
          <w:szCs w:val="20"/>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New Developments </w:t>
      </w:r>
      <w:r>
        <w:rPr>
          <w:rFonts w:ascii="Times New Roman" w:cs="Times New Roman" w:eastAsia="Times New Roman" w:hAnsi="Times New Roman"/>
          <w:sz w:val="18"/>
          <w:szCs w:val="18"/>
          <w:color w:val="auto"/>
        </w:rPr>
        <w:t>– On December 17, 2024, we opened Caesars Virginia, which we partnered with the Eastern Band of Cherokee Indians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Caesars Virginia is a premier destination resort casino with a 320-room hotel, 1,300 slot machines, 85 live table games, a WSOP Poker Room, a Caesars Sportsbook, a live entertainment theater and 40,000 square feet of meeting and convention space. We also opened Harrah’s Columbus Nebraska on May 17, 2024. Harrah’s Columbus Nebraska features a new one-mile horse racing surface, an 18,000-square-foot-casino and sportsbook with more than 400 slot machines and 10 table games, as well as a restaurant and retail space.</w:t>
      </w:r>
    </w:p>
    <w:p>
      <w:pPr>
        <w:spacing w:after="0" w:line="129" w:lineRule="exact"/>
        <w:rPr>
          <w:rFonts w:ascii="Times New Roman" w:cs="Times New Roman" w:eastAsia="Times New Roman" w:hAnsi="Times New Roman"/>
          <w:sz w:val="18"/>
          <w:szCs w:val="18"/>
          <w:b w:val="1"/>
          <w:bCs w:val="1"/>
          <w:color w:val="auto"/>
        </w:rPr>
      </w:pPr>
    </w:p>
    <w:p>
      <w:pPr>
        <w:jc w:val="both"/>
        <w:ind w:left="660" w:hanging="328"/>
        <w:spacing w:after="0" w:line="267" w:lineRule="auto"/>
        <w:tabs>
          <w:tab w:leader="none" w:pos="655" w:val="left"/>
        </w:tabs>
        <w:numPr>
          <w:ilvl w:val="0"/>
          <w:numId w:val="15"/>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i w:val="1"/>
          <w:iCs w:val="1"/>
          <w:color w:val="212529"/>
        </w:rPr>
        <w:t xml:space="preserve">Caesars Sportsbook, Caesars Racebook </w:t>
      </w:r>
      <w:r>
        <w:rPr>
          <w:rFonts w:ascii="Times New Roman" w:cs="Times New Roman" w:eastAsia="Times New Roman" w:hAnsi="Times New Roman"/>
          <w:sz w:val="18"/>
          <w:szCs w:val="18"/>
          <w:i w:val="1"/>
          <w:iCs w:val="1"/>
          <w:color w:val="000000"/>
        </w:rPr>
        <w:t>and iGaming mobile apps</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 We continue to launch Caesars Sportsbook, Caesars Racebook, and our</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online and mobile iGaming applications in new jurisdictions upon the receipt of necessary approvals. Caesars Palace Online Casino launched in August 2023 and Horseshoe Online Casino initially launched in October 2024.</w:t>
      </w:r>
    </w:p>
    <w:p>
      <w:pPr>
        <w:spacing w:after="0" w:line="119" w:lineRule="exact"/>
        <w:rPr>
          <w:rFonts w:ascii="Times New Roman" w:cs="Times New Roman" w:eastAsia="Times New Roman" w:hAnsi="Times New Roman"/>
          <w:sz w:val="18"/>
          <w:szCs w:val="18"/>
          <w:b w:val="1"/>
          <w:bCs w:val="1"/>
          <w:color w:val="212529"/>
        </w:rPr>
      </w:pPr>
    </w:p>
    <w:p>
      <w:pPr>
        <w:ind w:left="660" w:hanging="328"/>
        <w:spacing w:after="0" w:line="284"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As previously disclosed, during the second quarter of 2023, we reversed a portion of a valuation allowance related to deferred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recorded an income tax benefit of $940 million.</w:t>
      </w:r>
    </w:p>
    <w:p>
      <w:pPr>
        <w:spacing w:after="0" w:line="104" w:lineRule="exact"/>
        <w:rPr>
          <w:rFonts w:ascii="Times New Roman" w:cs="Times New Roman" w:eastAsia="Times New Roman" w:hAnsi="Times New Roman"/>
          <w:sz w:val="18"/>
          <w:szCs w:val="18"/>
          <w:b w:val="1"/>
          <w:bCs w:val="1"/>
          <w:color w:val="auto"/>
        </w:rPr>
      </w:pPr>
    </w:p>
    <w:p>
      <w:pPr>
        <w:jc w:val="both"/>
        <w:ind w:left="660" w:hanging="328"/>
        <w:spacing w:after="0" w:line="267" w:lineRule="auto"/>
        <w:tabs>
          <w:tab w:leader="none" w:pos="655" w:val="left"/>
        </w:tabs>
        <w:numPr>
          <w:ilvl w:val="0"/>
          <w:numId w:val="15"/>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auto"/>
        </w:rPr>
        <w:t xml:space="preserve">Economic Factors Impacting Discretionary Spending – </w:t>
      </w:r>
      <w:r>
        <w:rPr>
          <w:rFonts w:ascii="Times New Roman" w:cs="Times New Roman" w:eastAsia="Times New Roman" w:hAnsi="Times New Roman"/>
          <w:sz w:val="18"/>
          <w:szCs w:val="18"/>
          <w:color w:val="212529"/>
        </w:rPr>
        <w:t>Gaming and other leisure activities we offer represent discretionary expenditures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may be sensitive to economic downturns which impacts the behavior among the components of our customer mix differently. W</w:t>
      </w:r>
      <w:r>
        <w:rPr>
          <w:rFonts w:ascii="Times New Roman" w:cs="Times New Roman" w:eastAsia="Times New Roman" w:hAnsi="Times New Roman"/>
          <w:sz w:val="18"/>
          <w:szCs w:val="18"/>
          <w:color w:val="000000"/>
        </w:rPr>
        <w:t>e also monitor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recent trends, including inflation, interest rates, and global hostilities, and the related effects on travel, our customers, and our operations.</w:t>
      </w:r>
    </w:p>
    <w:p>
      <w:pPr>
        <w:spacing w:after="0" w:line="119"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67"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Impairment Charges – </w:t>
      </w:r>
      <w:r>
        <w:rPr>
          <w:rFonts w:ascii="Times New Roman" w:cs="Times New Roman" w:eastAsia="Times New Roman" w:hAnsi="Times New Roman"/>
          <w:sz w:val="18"/>
          <w:szCs w:val="18"/>
          <w:color w:val="auto"/>
        </w:rPr>
        <w:t>During the year ended December 31, 2024, we recognized impairment charges for a total of $302 million. See “</w:t>
      </w:r>
      <w:r>
        <w:rPr>
          <w:rFonts w:ascii="Times New Roman" w:cs="Times New Roman" w:eastAsia="Times New Roman" w:hAnsi="Times New Roman"/>
          <w:sz w:val="18"/>
          <w:szCs w:val="18"/>
          <w:u w:val="single" w:color="auto"/>
          <w:color w:val="0000FF"/>
        </w:rPr>
        <w:t>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00"/>
        </w:rPr>
        <w:t>” below for further details. During the year ended December 31, 2023, we recognized impairment charges totaling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$95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results of our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Pr>
          <w:p>
            <w:pPr>
              <w:spacing w:after="0"/>
              <w:rPr>
                <w:sz w:val="16"/>
                <w:szCs w:val="16"/>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Las Vegas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4,287</w:t>
            </w:r>
          </w:p>
        </w:tc>
      </w:tr>
      <w:tr>
        <w:trPr>
          <w:trHeight w:val="25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Regional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5,704</w:t>
            </w:r>
          </w:p>
        </w:tc>
      </w:tr>
      <w:tr>
        <w:trPr>
          <w:trHeight w:val="240"/>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Caesars Digital</w:t>
            </w: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548</w:t>
            </w:r>
          </w:p>
        </w:tc>
      </w:tr>
      <w:tr>
        <w:trPr>
          <w:trHeight w:val="246"/>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Managed and Branded</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(910)</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i w:val="1"/>
                <w:iCs w:val="1"/>
                <w:color w:val="auto"/>
                <w:vertAlign w:val="superscript"/>
              </w:rPr>
              <w:t>(b)</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Las Vegas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1,964</w:t>
            </w:r>
          </w:p>
        </w:tc>
      </w:tr>
      <w:tr>
        <w:trPr>
          <w:trHeight w:val="25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Regional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1,985</w:t>
            </w:r>
          </w:p>
        </w:tc>
      </w:tr>
      <w:tr>
        <w:trPr>
          <w:trHeight w:val="233"/>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Caesars Digital</w:t>
            </w: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(666)</w:t>
            </w:r>
          </w:p>
        </w:tc>
      </w:tr>
      <w:tr>
        <w:trPr>
          <w:trHeight w:val="25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Managed and Branded</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r>
      <w:tr>
        <w:trPr>
          <w:trHeight w:val="243"/>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(124)</w:t>
            </w: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7" w:lineRule="exact"/>
        <w:rPr>
          <w:sz w:val="20"/>
          <w:szCs w:val="20"/>
          <w:color w:val="auto"/>
        </w:rPr>
      </w:pPr>
    </w:p>
    <w:p>
      <w:pPr>
        <w:jc w:val="both"/>
        <w:ind w:left="340" w:hanging="332"/>
        <w:spacing w:after="0" w:line="234" w:lineRule="auto"/>
        <w:tabs>
          <w:tab w:leader="none" w:pos="327" w:val="left"/>
        </w:tabs>
        <w:numPr>
          <w:ilvl w:val="0"/>
          <w:numId w:val="1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and other general and administrative expenses.</w:t>
      </w:r>
    </w:p>
    <w:p>
      <w:pPr>
        <w:spacing w:after="0" w:line="40" w:lineRule="exact"/>
        <w:rPr>
          <w:rFonts w:ascii="Times New Roman" w:cs="Times New Roman" w:eastAsia="Times New Roman" w:hAnsi="Times New Roman"/>
          <w:sz w:val="19"/>
          <w:szCs w:val="19"/>
          <w:i w:val="1"/>
          <w:iCs w:val="1"/>
          <w:color w:val="auto"/>
          <w:vertAlign w:val="superscript"/>
        </w:rPr>
      </w:pPr>
    </w:p>
    <w:p>
      <w:pPr>
        <w:ind w:left="340" w:hanging="332"/>
        <w:spacing w:after="0" w:line="231" w:lineRule="auto"/>
        <w:tabs>
          <w:tab w:leader="none" w:pos="327" w:val="left"/>
        </w:tabs>
        <w:numPr>
          <w:ilvl w:val="0"/>
          <w:numId w:val="1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the “Supplemental Unaudited Presentation of Consolidated Adjusted Earnings before Interest, Taxes, Depreciation and Amortization (“Adjusted EBITDA”)” discussion later in this MD&amp;A for a description of Adjusted EBITDA and a reconciliation of net income (loss) to Adjusted EBITDA.</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051"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Consolidated comparison for the years ended December 31, 2024, 2023 and 2022</w:t>
      </w:r>
    </w:p>
    <w:p>
      <w:pPr>
        <w:spacing w:after="0" w:line="175" w:lineRule="exact"/>
        <w:rPr>
          <w:sz w:val="20"/>
          <w:szCs w:val="20"/>
          <w:color w:val="auto"/>
        </w:rPr>
      </w:pPr>
    </w:p>
    <w:p>
      <w:pPr>
        <w:jc w:val="both"/>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tables below highlight the results of our operations. Comparisons between 2024 and 2023 are described below. A discussion of changes in our results of operations between the year ended December 31, 2023 compared to 2022 has been omitted from this Annual Report on Form 10-K and can be found in </w:t>
      </w:r>
      <w:hyperlink r:id="rId54">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Item 7 - Management's Discussion and Analysis of Financial Condition and Results of Operations - Year Ended December 31, 2023 Compared to the Year</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FF"/>
          </w:rPr>
          <w:t>Ended December 31, 2022</w:t>
        </w:r>
        <w:r>
          <w:rPr>
            <w:rFonts w:ascii="Times New Roman" w:cs="Times New Roman" w:eastAsia="Times New Roman" w:hAnsi="Times New Roman"/>
            <w:sz w:val="18"/>
            <w:szCs w:val="18"/>
            <w:color w:val="000000"/>
          </w:rPr>
          <w:t>” of the Company’s Annual Report on Form 10-K for the fiscal year ended December 31, 2023.</w:t>
        </w:r>
      </w:hyperlink>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40"/>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46"/>
        </w:trPr>
        <w:tc>
          <w:tcPr>
            <w:tcW w:w="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40"/>
        </w:trPr>
        <w:tc>
          <w:tcPr>
            <w:tcW w:w="20" w:type="dxa"/>
            <w:vAlign w:val="bottom"/>
            <w:tcBorders>
              <w:bottom w:val="single" w:sz="8" w:color="CCEEFF"/>
            </w:tcBorders>
          </w:tcPr>
          <w:p>
            <w:pPr>
              <w:spacing w:after="0"/>
              <w:rPr>
                <w:sz w:val="20"/>
                <w:szCs w:val="20"/>
                <w:color w:val="auto"/>
              </w:rPr>
            </w:pPr>
          </w:p>
        </w:tc>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65"/>
        </w:trPr>
        <w:tc>
          <w:tcPr>
            <w:tcW w:w="2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net revenues decreased for the year ended December 31, 2024, as compared to the same prior year period, primarily due to the Regional segment being negatively impacted by competition associated with new casino resorts opening in some of our regional markets, construction disruption from renovation projects at certain of our properties, and inclement weather in several of our property locations during the first quarter of 2024. In addition, net revenues in our Las Vegas segment decreased due to the divestiture of Rio at the end of the third quarter of 2023, and lower table games volume and hold. These results were partially offset for the year ended December 31, 2024 by higher net revenues from our Caesars Digital segment due to a significant increase in iGaming handle coupled with improved iGaming hold and higher hold in sports betting. Furthermore, our Regional segment generated incremental revenues from the opening of our temporary gaming facilities at Caesars Virginia and Harrah’s Columbus Nebraska during the second quarter of 2023, followed by the permanent facilities of Harrah’s Columbus Nebraska in May 2024 and Caesars Virginia on December 17,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46"/>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4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46"/>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46"/>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charges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4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43"/>
        </w:trPr>
        <w:tc>
          <w:tcPr>
            <w:tcW w:w="3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0" w:type="dxa"/>
            <w:vAlign w:val="bottom"/>
          </w:tcPr>
          <w:p>
            <w:pPr>
              <w:spacing w:after="0"/>
              <w:rPr>
                <w:sz w:val="20"/>
                <w:szCs w:val="20"/>
                <w:color w:val="auto"/>
              </w:rPr>
            </w:pPr>
          </w:p>
        </w:tc>
        <w:tc>
          <w:tcPr>
            <w:tcW w:w="3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7"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Casino expenses consist primarily of salaries and wages associated with our gaming operations, gaming taxes and marketing and promotions attributable to our Caesars Digital segment. Food and beverage expenses consist principally of salaries and wages and costs of goods sold associated with our food and beverage operations. Hotel expenses consist principally of salaries and wages, supplies and costs of services associated with our hotel operations. Other expenses consist principally of salaries and wages and costs of goods sold associated with our retail, entertainment and other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049"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Casino expenses were flat for the year ended December 31, 2024, as compared to the same prior year period, in connection with higher gaming taxes and software costs associated with increased revenues in our Caesars Digital segment, offset in part by lower gaming taxes associated with lower gaming revenues in our Las Vegas and Regional segments. We continue to strategically manage our marketing and advertising spend to reduce our casino expenses related to our Caesars Digital segment.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Food and beverage expenses have increased mainly due to higher union and non-union wages in addition to increased employee head count in our Las Vegas segment associated with new food and beverage offerings. We continue to focus on labor efficiencies to manage increased labor costs.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items such as information technology, facility maintenance, utilities, property and liability insurance, expenses for administrative departments such as accounting, compliance, purchasing, human resources, legal, internal audit, and property taxes. General and administrative expenses also include other marketing expenses indirectly related to our gaming and non-gaming operations. General and administrative expenses decreased for the year ended December 31, 2024, as compared to the same prior year period, due to lower general advertising expenses and reduced rent expense related to the Rio which was divested at the end of the third quarter of 2023.</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include unallocated expenses such as payroll related expenses, stock-based compensation, professional fees, and other various expenses not directly related to the Company’s operations.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for the year ended December 31, 2024 were recorded within our Regional segment as a result of a decrease in projected future cash flows at certain properties primarily due to localized competition. Impairment charges to a trademark were also recorded due to the performance of our smallest brand in the Las Vegas segment.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for the year ended December 31, 2024, as compared to the same prior year period primarily related to recently completed construction projects.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and other costs, net for the year ended December 31, 2024 primarily includes non-cash losses on the write down and disposal of assets, gains from the sales of the WSOP trademark and the LINQ Promenade, professional services for transaction and integration costs, various contract exit or termination costs, pre-opening costs in connection with new property openings and expansion projects at existing properties, and non-cash changes in equity method investments. Transaction and other costs, net for the year ended December 31, 2023 also includes net proceeds received in exchange for participation rights in a potential insurance recovery.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46"/>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37"/>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847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7"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increased for the year ended December 31, 2024 as compared to the same prior year period primarily due to the annual CPI-based rent escalator and the variable rent adjustment associated with our VICI Leases. Interest expense associated with our debt instruments is also slightly higher due to our debt mix, partially offset by our continuing efforts to reduce outstanding debt. An increase in capitalized interest resulting from ongoing construction projects, including our new developments, has also offset the increase in total interest expense.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loss on extinguishment of debt was primarily related to the prepayments of the CEI Senior Secured Notes due 2025 and the Caesars Resort Collection (“CRC”) Senior Secured Notes and the partial prepayments of the CEI Term Loan B and the CEI Senior Notes due 2027. For the year ended December 31, 2023, loss on extinguishment of debt was primarily related to the prepayments of the CRC Term Loan, the CRC Incremental Term Loan and the Baltimore Term Loan.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for the year ended December 31, 2024, primarily represents a change in estimate of our disputed claims liability.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income tax provision was $87 million for the year ended December 31, 2024, as compared to an income tax benefit of $888 million for the year ended December 31, 2023. The reported income tax expense in 2024 differed from the statutory income tax benefit primarily due to nondeductible goodwill impairments and write offs and nondeductible interest expense. The reported income tax benefit in 2023 differed from the statutory income tax benefit primarily due to the partial release of federal and state valuation allowances. During the second quarter of 2023, we reversed the valuation allowance related to certain deferred tax assets and recorded a one-time income tax benefit of $940 million, as we determined it was more likely than not that a portion of our federal and state deferred tax assets would be realized. Refer to </w:t>
      </w:r>
      <w:r>
        <w:rPr>
          <w:rFonts w:ascii="Times New Roman" w:cs="Times New Roman" w:eastAsia="Times New Roman" w:hAnsi="Times New Roman"/>
          <w:sz w:val="18"/>
          <w:szCs w:val="18"/>
          <w:u w:val="single" w:color="auto"/>
          <w:color w:val="0000FF"/>
        </w:rPr>
        <w:t>Item 8. - Note 14</w:t>
      </w:r>
      <w:r>
        <w:rPr>
          <w:rFonts w:ascii="Times New Roman" w:cs="Times New Roman" w:eastAsia="Times New Roman" w:hAnsi="Times New Roman"/>
          <w:sz w:val="18"/>
          <w:szCs w:val="18"/>
          <w:color w:val="auto"/>
        </w:rPr>
        <w:t xml:space="preserve"> for the effective income tax rate reconciliation.</w:t>
      </w:r>
    </w:p>
    <w:p>
      <w:pPr>
        <w:spacing w:after="0" w:line="129" w:lineRule="exact"/>
        <w:rPr>
          <w:sz w:val="20"/>
          <w:szCs w:val="20"/>
          <w:color w:val="auto"/>
        </w:rPr>
      </w:pPr>
    </w:p>
    <w:p>
      <w:pPr>
        <w:ind w:right="5420"/>
        <w:spacing w:after="0" w:line="473" w:lineRule="auto"/>
        <w:rPr>
          <w:sz w:val="20"/>
          <w:szCs w:val="20"/>
          <w:color w:val="auto"/>
        </w:rPr>
      </w:pPr>
      <w:r>
        <w:rPr>
          <w:rFonts w:ascii="Times New Roman" w:cs="Times New Roman" w:eastAsia="Times New Roman" w:hAnsi="Times New Roman"/>
          <w:sz w:val="18"/>
          <w:szCs w:val="18"/>
          <w:b w:val="1"/>
          <w:bCs w:val="1"/>
          <w:color w:val="auto"/>
        </w:rPr>
        <w:t xml:space="preserve">Segment comparison for the years ended December 31, 2024, 2023 and 2022 </w:t>
      </w:r>
      <w:r>
        <w:rPr>
          <w:rFonts w:ascii="Times New Roman" w:cs="Times New Roman" w:eastAsia="Times New Roman" w:hAnsi="Times New Roman"/>
          <w:sz w:val="18"/>
          <w:szCs w:val="18"/>
          <w:i w:val="1"/>
          <w:iCs w:val="1"/>
          <w:u w:val="single" w:color="auto"/>
          <w:color w:val="auto"/>
        </w:rPr>
        <w:t>Las Vegas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Food and beverage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40"/>
        </w:trPr>
        <w:tc>
          <w:tcPr>
            <w:tcW w:w="20" w:type="dxa"/>
            <w:vAlign w:val="bottom"/>
          </w:tcPr>
          <w:p>
            <w:pPr>
              <w:spacing w:after="0"/>
              <w:rPr>
                <w:sz w:val="20"/>
                <w:szCs w:val="20"/>
                <w:color w:val="auto"/>
              </w:rPr>
            </w:pP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Table games drop </w:t>
            </w:r>
            <w:r>
              <w:rPr>
                <w:rFonts w:ascii="Times New Roman" w:cs="Times New Roman" w:eastAsia="Times New Roman" w:hAnsi="Times New Roman"/>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games hold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 pts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pts</w:t>
            </w: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Slot handle </w:t>
            </w:r>
            <w:r>
              <w:rPr>
                <w:rFonts w:ascii="Times New Roman" w:cs="Times New Roman" w:eastAsia="Times New Roman" w:hAnsi="Times New Roman"/>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6"/>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Hotel occupancy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 pts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 pts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311"/>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9" w:lineRule="exact"/>
        <w:rPr>
          <w:sz w:val="20"/>
          <w:szCs w:val="20"/>
          <w:color w:val="auto"/>
        </w:rPr>
      </w:pPr>
    </w:p>
    <w:p>
      <w:pPr>
        <w:ind w:left="340" w:right="20" w:hanging="332"/>
        <w:spacing w:after="0" w:line="222" w:lineRule="auto"/>
        <w:tabs>
          <w:tab w:leader="none" w:pos="327" w:val="left"/>
        </w:tabs>
        <w:numPr>
          <w:ilvl w:val="0"/>
          <w:numId w:val="1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Prior year gaming volumes include Rio’s table games drop of $70 million and $111 million for the years ended December 31, 2023 and 2022, respectively, and slot handle of $342 million and $530 million for the years ended December 31, 2023 and 2022, respectively.</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Las Vegas segment’s net revenues, net income, Adjusted EBITDA and Adjusted EBITDA margin decreased for the year ended December 31, 2024, compared to the same prior year period. Net revenues, net income and gaming volumes were negatively impacted by the divestiture of Rio at the end of the third quarter of 2023. Casino revenues also declined as a result of lower table games volume and hold. Entertainment revenues also declined due to the mix of headliner performances in the current year, as compared to prior year. These decreases were slightly offset by higher hotel and food and beverage revenues associated with improved hotel occupancy, higher room rates and new food and beverage offerings, excluding the impact of the Rio divestiture. Net income and Adjusted EBITDA in the Las Vegas segment for the year ended December 31, 2024 were also negatively impacted by higher operating costs associated with (a) higher union and non-union wages, (b) increased employee head count associated with new food and beverage offerings and (c) increased promotional costs associated with special events held over the Super Bowl weekend.</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trademark impairment totaling $32 million due to the performance of our smallest brand in the Las Vegas segment for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win percentage in the Las Vegas segment during the year ended December 31, 2024 was within our typical range.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Regional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1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0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Food and beverage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40"/>
        </w:trPr>
        <w:tc>
          <w:tcPr>
            <w:tcW w:w="20" w:type="dxa"/>
            <w:vAlign w:val="bottom"/>
          </w:tcPr>
          <w:p>
            <w:pPr>
              <w:spacing w:after="0"/>
              <w:rPr>
                <w:sz w:val="20"/>
                <w:szCs w:val="20"/>
                <w:color w:val="auto"/>
              </w:rPr>
            </w:pP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5,704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games drop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4,188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games hold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(0.4) pts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pts</w:t>
            </w: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Slot handle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40,850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43,211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(1.3) pts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310"/>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Regional segment’s net revenues, net income (loss), Adjusted EBITDA and Adjusted EBITDA margin decreased for year ended December 31, 2024, as compared to the same prior year period, primarily due to the continued impact of competition associated with new casino resorts opening in some of our regional markets and construction disruption from renovation projects at certain of our properties. Additionally, inclement weather in several of our regional property locations negatively impacted visitor volume in the first quarter of 2024. The impact of these unfavorable factors was partially offset for the year ended December 31, 2024 by the incremental revenues attributable to Caesars Virginia and Harrah’s Columbus Nebraska that opened temporary facilities during the second quarter in 2023. The permanent facility of Harrah’s Columbus Nebraska opened in May 2024 following the closure of the temporary facility in March 2024. The permanent facility of Caesars Virginia opened in December 2024.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aforementioned factors impacting certain of our properties in the Regional segment, we recorded impairments totaling $270 million during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win percentage in the Regional segment during the year ended December 31, 2024 was within our typical range.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Digital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xml:space="preserve">Casino </w:t>
            </w:r>
            <w:r>
              <w:rPr>
                <w:rFonts w:ascii="Times New Roman" w:cs="Times New Roman" w:eastAsia="Times New Roman" w:hAnsi="Times New Roman"/>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91.8 %</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Sports betting handle </w:t>
            </w:r>
            <w:r>
              <w:rPr>
                <w:rFonts w:ascii="Times New Roman" w:cs="Times New Roman" w:eastAsia="Times New Roman" w:hAnsi="Times New Roman"/>
                <w:sz w:val="21"/>
                <w:szCs w:val="21"/>
                <w:i w:val="1"/>
                <w:iCs w:val="1"/>
                <w:color w:val="auto"/>
                <w:vertAlign w:val="superscript"/>
              </w:rPr>
              <w:t>(b)</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Sports betting hold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0.7 pts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iGaming handle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iGaming hold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0.4 pts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6.2 pts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88.5 %</w:t>
            </w:r>
          </w:p>
        </w:tc>
      </w:tr>
      <w:tr>
        <w:trPr>
          <w:trHeight w:val="311"/>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55" w:lineRule="exact"/>
        <w:rPr>
          <w:sz w:val="20"/>
          <w:szCs w:val="20"/>
          <w:color w:val="auto"/>
        </w:rPr>
      </w:pPr>
    </w:p>
    <w:p>
      <w:pPr>
        <w:jc w:val="both"/>
        <w:ind w:left="340" w:hanging="332"/>
        <w:spacing w:after="0" w:line="283" w:lineRule="auto"/>
        <w:tabs>
          <w:tab w:leader="none" w:pos="327" w:val="left"/>
        </w:tabs>
        <w:numPr>
          <w:ilvl w:val="0"/>
          <w:numId w:val="2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total promotional and complimentary incentives related to sports betting, iGaming, and poker of $283 million, $253 million and $542 million for the years ended December 31, 2024, 2023 and 2022, respectively. Promotional and complimentary incentives for poker were $13 million, $14 million and $21 million for the years ended December 31, 2024, 2023 and 2022, respectively.</w:t>
      </w:r>
    </w:p>
    <w:p>
      <w:pPr>
        <w:spacing w:after="0" w:line="11" w:lineRule="exact"/>
        <w:rPr>
          <w:rFonts w:ascii="Times New Roman" w:cs="Times New Roman" w:eastAsia="Times New Roman" w:hAnsi="Times New Roman"/>
          <w:sz w:val="9"/>
          <w:szCs w:val="9"/>
          <w:i w:val="1"/>
          <w:iCs w:val="1"/>
          <w:color w:val="auto"/>
        </w:rPr>
      </w:pPr>
    </w:p>
    <w:p>
      <w:pPr>
        <w:jc w:val="both"/>
        <w:ind w:left="340" w:hanging="332"/>
        <w:spacing w:after="0"/>
        <w:tabs>
          <w:tab w:leader="none" w:pos="327" w:val="left"/>
        </w:tabs>
        <w:numPr>
          <w:ilvl w:val="0"/>
          <w:numId w:val="2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Caesars Digital generated an additional $979 million, $1.1 billion and $1.2 billion of sports betting handle for the years ended December 31, 2024, 2023 and 2022, respectively, which is not included in this table, for select wholly-owned and third-party operations for which Caesars Digital provides services and we receive all, or a share of, the net profits. Hold related to these operations was 9.3%, 10.4% and 11.0% for the years ended December 31, 2024, 2023 and 2022, respectively. Sports betting handle includes $41 million, $45 million and $50 million for the years ended December 31, 2024, 2023 and 2022, respectively, related to horse racing and pari-mutuel wagers.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Caesars Digital reflects the operations for retail and online sports betting, iGaming, poker, and horse racing, which includes our Caesars Sportsbook, Caesars Racebook and iGaming mobile apps.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Caesars Digital’s net revenues, net income (loss), Adjusted EBITDA, and Adjusted EBITDA margin improved significantly for the year ended December 31, 2024, as compared to the same prior year period, primarily due to higher iGaming handle and iGaming hold coupled with improved sports betting hold. The increase was slightly offset by lower sports betting handle. iGaming handle and iGaming hold improved following the launch of Caesars Palace Online Casino in August 2023 and Horseshoe Online Casino app which initially launched in October 2024. Despite improved sports betting hold which reflects the benefit of the continued investment in our sports betting platform, hold remained at the lower end of our expected range primarily due to customer friendly sports betting outcomes in the fourth quarter of 2024.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Managed and Branded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65"/>
        </w:trPr>
        <w:tc>
          <w:tcPr>
            <w:tcW w:w="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1.1 pts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7"/>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 In September 2023, we recorded $25 million of additional other revenue related to the termination of the Caesars Dubai management agreement, which has been excluded from Adjusted EBITDA.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40" w:type="dxa"/>
            <w:vAlign w:val="bottom"/>
            <w:tcBorders>
              <w:bottom w:val="single" w:sz="8" w:color="auto"/>
            </w:tcBorders>
            <w:gridSpan w:val="7"/>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06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Reimbursable management revenue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203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Reimbursable management cost</w:t>
            </w: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203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&amp;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6"/>
                <w:szCs w:val="16"/>
                <w:color w:val="auto"/>
              </w:rPr>
            </w:pPr>
          </w:p>
        </w:tc>
        <w:tc>
          <w:tcPr>
            <w:tcW w:w="20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6"/>
        </w:trPr>
        <w:tc>
          <w:tcPr>
            <w:tcW w:w="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6"/>
        </w:trPr>
        <w:tc>
          <w:tcPr>
            <w:tcW w:w="20" w:type="dxa"/>
            <w:vAlign w:val="bottom"/>
          </w:tcPr>
          <w:p>
            <w:pPr>
              <w:spacing w:after="0"/>
              <w:rPr>
                <w:sz w:val="20"/>
                <w:szCs w:val="20"/>
                <w:color w:val="auto"/>
              </w:rPr>
            </w:pPr>
          </w:p>
        </w:tc>
        <w:tc>
          <w:tcPr>
            <w:tcW w:w="3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317"/>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Supplemental Unaudited Presentation of Consolidated Adjusted Earnings before Interest, Taxes, Depreciation and Amortization (“Adjusted EBITDA”) for the Years Ended December 31, 2024, 2023 and 2022</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051"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a measure of performance or liquidity calculated in accordance with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payments under our leases with affiliates of VICI Properties Inc. and GLPI,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or lease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Adjusted EBITDA for the years ended December 31, 2024, 2023 and 2022 in addition to reconciling net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Adjusted EBITDA in accordance with GAAP (unaudited):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7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3"/>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Discontinued operations, net of income taxes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(Benefit) provision for income taxes </w:t>
            </w:r>
            <w:r>
              <w:rPr>
                <w:rFonts w:ascii="Times New Roman" w:cs="Times New Roman" w:eastAsia="Times New Roman" w:hAnsi="Times New Roman"/>
                <w:sz w:val="21"/>
                <w:szCs w:val="21"/>
                <w:i w:val="1"/>
                <w:iCs w:val="1"/>
                <w:color w:val="auto"/>
                <w:vertAlign w:val="superscript"/>
              </w:rPr>
              <w:t>(a)</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income </w:t>
            </w:r>
            <w:r>
              <w:rPr>
                <w:rFonts w:ascii="Times New Roman" w:cs="Times New Roman" w:eastAsia="Times New Roman" w:hAnsi="Times New Roman"/>
                <w:sz w:val="21"/>
                <w:szCs w:val="21"/>
                <w:i w:val="1"/>
                <w:iCs w:val="1"/>
                <w:color w:val="auto"/>
                <w:vertAlign w:val="superscript"/>
              </w:rPr>
              <w:t>(b)</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0"/>
        </w:trPr>
        <w:tc>
          <w:tcPr>
            <w:tcW w:w="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43"/>
        </w:trPr>
        <w:tc>
          <w:tcPr>
            <w:tcW w:w="20" w:type="dxa"/>
            <w:vAlign w:val="bottom"/>
          </w:tcPr>
          <w:p>
            <w:pPr>
              <w:spacing w:after="0"/>
              <w:rPr>
                <w:sz w:val="21"/>
                <w:szCs w:val="21"/>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Impairment charges </w:t>
            </w:r>
            <w:r>
              <w:rPr>
                <w:rFonts w:ascii="Times New Roman" w:cs="Times New Roman" w:eastAsia="Times New Roman" w:hAnsi="Times New Roman"/>
                <w:sz w:val="21"/>
                <w:szCs w:val="21"/>
                <w:i w:val="1"/>
                <w:iCs w:val="1"/>
                <w:color w:val="auto"/>
                <w:vertAlign w:val="superscript"/>
              </w:rPr>
              <w:t>(c)</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7"/>
        </w:trPr>
        <w:tc>
          <w:tcPr>
            <w:tcW w:w="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w:t>
            </w:r>
          </w:p>
        </w:tc>
      </w:tr>
      <w:tr>
        <w:trPr>
          <w:trHeight w:val="212"/>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6"/>
                <w:szCs w:val="16"/>
                <w:color w:val="auto"/>
              </w:rPr>
              <w:t xml:space="preserve">Pre-disposition EBITDA, net </w:t>
            </w:r>
            <w:r>
              <w:rPr>
                <w:rFonts w:ascii="Times New Roman" w:cs="Times New Roman" w:eastAsia="Times New Roman" w:hAnsi="Times New Roman"/>
                <w:sz w:val="21"/>
                <w:szCs w:val="21"/>
                <w:i w:val="1"/>
                <w:iCs w:val="1"/>
                <w:color w:val="auto"/>
                <w:vertAlign w:val="superscript"/>
              </w:rPr>
              <w:t>(e)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20" w:type="dxa"/>
            <w:vAlign w:val="bottom"/>
          </w:tcPr>
          <w:p>
            <w:pPr>
              <w:spacing w:after="0"/>
              <w:rPr>
                <w:sz w:val="18"/>
                <w:szCs w:val="18"/>
                <w:color w:val="auto"/>
              </w:rPr>
            </w:pPr>
          </w:p>
        </w:tc>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Benefit for income taxes for the year ended December 31, 2023 includes the release of $940 million of valuation allowance against deferred tax assets.</w:t>
      </w:r>
    </w:p>
    <w:p>
      <w:pPr>
        <w:spacing w:after="0" w:line="43" w:lineRule="exact"/>
        <w:rPr>
          <w:rFonts w:ascii="Times New Roman" w:cs="Times New Roman" w:eastAsia="Times New Roman" w:hAnsi="Times New Roman"/>
          <w:sz w:val="19"/>
          <w:szCs w:val="19"/>
          <w:i w:val="1"/>
          <w:iCs w:val="1"/>
          <w:color w:val="212529"/>
          <w:vertAlign w:val="superscript"/>
        </w:rPr>
      </w:pPr>
    </w:p>
    <w:p>
      <w:pPr>
        <w:ind w:left="320" w:hanging="312"/>
        <w:spacing w:after="0"/>
        <w:tabs>
          <w:tab w:leader="none" w:pos="320" w:val="left"/>
        </w:tabs>
        <w:numPr>
          <w:ilvl w:val="0"/>
          <w:numId w:val="25"/>
        </w:numPr>
        <w:rPr>
          <w:rFonts w:ascii="Times New Roman" w:cs="Times New Roman" w:eastAsia="Times New Roman" w:hAnsi="Times New Roman"/>
          <w:sz w:val="9"/>
          <w:szCs w:val="9"/>
          <w:i w:val="1"/>
          <w:iCs w:val="1"/>
          <w:color w:val="212529"/>
        </w:rPr>
      </w:pPr>
      <w:r>
        <w:rPr>
          <w:rFonts w:ascii="Times New Roman" w:cs="Times New Roman" w:eastAsia="Times New Roman" w:hAnsi="Times New Roman"/>
          <w:sz w:val="14"/>
          <w:szCs w:val="14"/>
          <w:i w:val="1"/>
          <w:iCs w:val="1"/>
          <w:color w:val="auto"/>
        </w:rPr>
        <w:t>Other income for the year ended December 31, 2024 primarily represents a change in estimate of our disputed claims liability.</w:t>
      </w:r>
    </w:p>
    <w:p>
      <w:pPr>
        <w:spacing w:after="0" w:line="50" w:lineRule="exact"/>
        <w:rPr>
          <w:rFonts w:ascii="Times New Roman" w:cs="Times New Roman" w:eastAsia="Times New Roman" w:hAnsi="Times New Roman"/>
          <w:sz w:val="9"/>
          <w:szCs w:val="9"/>
          <w:i w:val="1"/>
          <w:iCs w:val="1"/>
          <w:color w:val="212529"/>
        </w:rPr>
      </w:pPr>
    </w:p>
    <w:p>
      <w:pPr>
        <w:ind w:left="340" w:hanging="332"/>
        <w:spacing w:after="0" w:line="299" w:lineRule="auto"/>
        <w:tabs>
          <w:tab w:leader="none" w:pos="336" w:val="left"/>
        </w:tabs>
        <w:numPr>
          <w:ilvl w:val="0"/>
          <w:numId w:val="25"/>
        </w:numPr>
        <w:rPr>
          <w:rFonts w:ascii="Times New Roman" w:cs="Times New Roman" w:eastAsia="Times New Roman" w:hAnsi="Times New Roman"/>
          <w:sz w:val="9"/>
          <w:szCs w:val="9"/>
          <w:i w:val="1"/>
          <w:iCs w:val="1"/>
          <w:color w:val="212529"/>
        </w:rPr>
      </w:pPr>
      <w:r>
        <w:rPr>
          <w:rFonts w:ascii="Times New Roman" w:cs="Times New Roman" w:eastAsia="Times New Roman" w:hAnsi="Times New Roman"/>
          <w:sz w:val="14"/>
          <w:szCs w:val="14"/>
          <w:i w:val="1"/>
          <w:iCs w:val="1"/>
          <w:color w:val="auto"/>
        </w:rPr>
        <w:t>Impairment charges for the year ended December 31, 2024 include impairments within our Regional segment as a result of a decrease in projected future cash flows at certain properties primarily due to localized competition and an impairment to a trademark due to the performance of our smallest brand in the Las Vegas segment.</w:t>
      </w:r>
    </w:p>
    <w:p>
      <w:pPr>
        <w:spacing w:after="0" w:line="3" w:lineRule="exact"/>
        <w:rPr>
          <w:rFonts w:ascii="Times New Roman" w:cs="Times New Roman" w:eastAsia="Times New Roman" w:hAnsi="Times New Roman"/>
          <w:sz w:val="9"/>
          <w:szCs w:val="9"/>
          <w:i w:val="1"/>
          <w:iCs w:val="1"/>
          <w:color w:val="212529"/>
        </w:rPr>
      </w:pPr>
    </w:p>
    <w:p>
      <w:pPr>
        <w:jc w:val="both"/>
        <w:ind w:left="340" w:hanging="332"/>
        <w:spacing w:after="0" w:line="234" w:lineRule="auto"/>
        <w:tabs>
          <w:tab w:leader="none" w:pos="327" w:val="left"/>
        </w:tabs>
        <w:numPr>
          <w:ilvl w:val="0"/>
          <w:numId w:val="25"/>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Transaction costs and other, net primarily includes non-cash losses on the write down and disposal of assets, gains from the sales of the WSOP trademark and the LINQ Promenade, insurance proceeds from property damage, professional services for transaction and integration costs, various contract exit or termination costs, pre-opening costs in connection with new property openings and expansion projects at existing properties, and non-cash changes in equity method investments.</w:t>
      </w:r>
    </w:p>
    <w:p>
      <w:pPr>
        <w:spacing w:after="0" w:line="40" w:lineRule="exact"/>
        <w:rPr>
          <w:rFonts w:ascii="Times New Roman" w:cs="Times New Roman" w:eastAsia="Times New Roman" w:hAnsi="Times New Roman"/>
          <w:sz w:val="19"/>
          <w:szCs w:val="19"/>
          <w:i w:val="1"/>
          <w:iCs w:val="1"/>
          <w:color w:val="212529"/>
          <w:vertAlign w:val="superscript"/>
        </w:rPr>
      </w:pPr>
    </w:p>
    <w:p>
      <w:pPr>
        <w:jc w:val="both"/>
        <w:ind w:left="340" w:hanging="332"/>
        <w:spacing w:after="0" w:line="283" w:lineRule="auto"/>
        <w:tabs>
          <w:tab w:leader="none" w:pos="336" w:val="left"/>
        </w:tabs>
        <w:numPr>
          <w:ilvl w:val="0"/>
          <w:numId w:val="25"/>
        </w:numPr>
        <w:rPr>
          <w:rFonts w:ascii="Times New Roman" w:cs="Times New Roman" w:eastAsia="Times New Roman" w:hAnsi="Times New Roman"/>
          <w:sz w:val="9"/>
          <w:szCs w:val="9"/>
          <w:i w:val="1"/>
          <w:iCs w:val="1"/>
          <w:color w:val="212529"/>
        </w:rPr>
      </w:pPr>
      <w:r>
        <w:rPr>
          <w:rFonts w:ascii="Times New Roman" w:cs="Times New Roman" w:eastAsia="Times New Roman" w:hAnsi="Times New Roman"/>
          <w:sz w:val="14"/>
          <w:szCs w:val="14"/>
          <w:i w:val="1"/>
          <w:iCs w:val="1"/>
          <w:color w:val="auto"/>
        </w:rPr>
        <w:t xml:space="preserve">Adjustment for pre-disposition results of operations reflecting the subtraction of results of operations for Rio All-Suite Hotel &amp; Casino and the LINQ Promenade prior to divestiture, for the relevant periods. See </w:t>
      </w:r>
      <w:r>
        <w:rPr>
          <w:rFonts w:ascii="Times New Roman" w:cs="Times New Roman" w:eastAsia="Times New Roman" w:hAnsi="Times New Roman"/>
          <w:sz w:val="14"/>
          <w:szCs w:val="14"/>
          <w:i w:val="1"/>
          <w:iCs w:val="1"/>
          <w:u w:val="single" w:color="auto"/>
          <w:color w:val="0000FF"/>
        </w:rPr>
        <w:t>Item 7 - Overview</w:t>
      </w:r>
      <w:r>
        <w:rPr>
          <w:rFonts w:ascii="Times New Roman" w:cs="Times New Roman" w:eastAsia="Times New Roman" w:hAnsi="Times New Roman"/>
          <w:sz w:val="14"/>
          <w:szCs w:val="14"/>
          <w:i w:val="1"/>
          <w:iCs w:val="1"/>
          <w:color w:val="auto"/>
        </w:rPr>
        <w:t xml:space="preserve"> above. Such figures are based on unaudited internal financial statements and have not been reviewed by our auditors for the periods presented. The additional financial information is included to enable the comparison of current results with results of prior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Our cash requirements may fluctuate significantly depending on our decisions with respect to business acquisitions or divestitures and strategic capital and marketing investments.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As of December 31, 2024, our cash on hand and revolving borrowing capacity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Revolver capacity </w:t>
            </w:r>
            <w:r>
              <w:rPr>
                <w:rFonts w:ascii="Times New Roman" w:cs="Times New Roman" w:eastAsia="Times New Roman" w:hAnsi="Times New Roman"/>
                <w:sz w:val="21"/>
                <w:szCs w:val="21"/>
                <w:i w:val="1"/>
                <w:iCs w:val="1"/>
                <w:color w:val="auto"/>
                <w:vertAlign w:val="superscript"/>
              </w:rPr>
              <w:t>(a)</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Revolver capacity committed to letters of credit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Revolver capacity committed as regulatory requirement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i w:val="1"/>
                <w:iCs w:val="1"/>
                <w:color w:val="auto"/>
                <w:vertAlign w:val="superscript"/>
              </w:rPr>
              <w:t>(b)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2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Revolver capacity includes $2.25 billion under the CEI Revolving Credit Facility, maturing in January 2028 (subject to a springing maturity in the event certain other long-term debt of Caesars is not extended or repaid), and $25 million under the CVA Revolving Credit Facility, maturing on April 26, 2029, less $40 million reserved for specific purposes.</w:t>
      </w:r>
    </w:p>
    <w:p>
      <w:pPr>
        <w:spacing w:after="0" w:line="40"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2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Excludes approximately $105 million of additional borrowing available under the CVA Delayed Draw Term Loan.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our operating activities generated operating cash inflows of $1.1 billion, as compared to operating cash inflows of $1.8 billion during the year ended December 31, 2023 due to changes in working capital, coupled with the results of operations described above.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we entered into an Incremental Assumption Agreement No. 3 pursuant to which we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described below, bear interest, paid at least quarterly, at a rate equal to, at our option, either (a) a forward-looking term rate based on the Term SOFR, subject to a floor of 0.50% or (b) a base rate (the “TLB-1 Base Rate”) determined by reference to the highest of (i) the “Prime Rate” in the United States, (ii) the federal funds rate plus 0.50% per annum and (iii) the one-month Term SOFR plus 1.00% per annum, in each case, plus an applicable margin. Such applicable margin is 2.25% per annum in the case of any Term SOFR loan and 1.25% per annum in the case of any TLB-1 Base Rate loan. The CEI Term Loan B-1 was issued at a price of 99.75% of the principal amount and will mature on February 6, 2031.</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February 6, 2024, we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net proceeds from the issuance of the CEI Senior Secured Notes due </w:t>
      </w:r>
      <w:r>
        <w:rPr>
          <w:rFonts w:ascii="Times New Roman" w:cs="Times New Roman" w:eastAsia="Times New Roman" w:hAnsi="Times New Roman"/>
          <w:sz w:val="18"/>
          <w:szCs w:val="18"/>
          <w:color w:val="000000"/>
        </w:rPr>
        <w:t>2032 and the net proceeds from the CEI Term Loan B-1, together with borrowings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 Senior Secured Notes due 2025 (the “CEI Senior Secured Notes due 2025”). As a result of these transactions, we recognized $48 million of loss on early extinguishment of debt during the year ended December 31, 2024.</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2024, we entered into a fourth amendment to the CEI Credit Agreement which, among other things, reduces the interest rate margin applicable to the Company’s existing CEI Term Loan B to 2.75% per annum in the case of any Term SOFR loan and 1.75% per annum in the case of any Base Rate loan. Prior to the fourth amendment, the applicable margin was 3.25% per annum in the case of any Term SOFR loan (plus a Term SOFR adjustment of 0.10% for the CEI Term Loan A, the CEI Term Loan B and the CEI Revolving Facility) and 2.25% per annum in the case of any Base Rate loan, subject to one 0.25% step-down based on our net total leverage ratio. On November 25, 2024, we entered into a fifth amendment to the CEI Credit Agreement whereby we amended the interest rate margin for the CEI Term Loan B and the CEI Term Loan B-1 to 2.25% per annum in the case of any Term SOFR loan and 1.25% per annum in the case of any Base Rate loan. On June 28, 2024, we made a voluntary repayment of $100 million in aggregate principal amount of the CEI Term Loan B with cash on hand. Following the closing of the sale of the LINQ Promenade in December 2024, we utilized the proceeds from the sale, as well as cash on hand to make voluntary prepayments totaling $300 million of the outstanding principal of the CEI Term Loan B and recognized a $5 million loss on the early extinguishment of debt during the year ended December 31,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26, 2024, Caesars Virginia, LLC entered into a credit agreement (the “CVA Credit Agreement”) with Wells Fargo Bank, N.A., as administrative agent and collateral agent, and certain banks and other financial institutions and lenders party thereto, which provides for a senior secured first lien multi-draw term loan facility in an aggregate principal amount of $400 million (the “CVA Delayed Draw Term Loan”) and a senior secured first lien revolving credit facility in an aggregate principal amount of $25 million (the “CVA Revolving Credit Facility”), both maturing on April 26, 2029. </w:t>
      </w:r>
      <w:r>
        <w:rPr>
          <w:rFonts w:ascii="Times New Roman" w:cs="Times New Roman" w:eastAsia="Times New Roman" w:hAnsi="Times New Roman"/>
          <w:sz w:val="18"/>
          <w:szCs w:val="18"/>
          <w:color w:val="212529"/>
        </w:rPr>
        <w:t>The CVA Delayed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Draw Term Loan requires quarterly principal payments commencing on March 31, 2025. </w:t>
      </w:r>
      <w:r>
        <w:rPr>
          <w:rFonts w:ascii="Times New Roman" w:cs="Times New Roman" w:eastAsia="Times New Roman" w:hAnsi="Times New Roman"/>
          <w:sz w:val="18"/>
          <w:szCs w:val="18"/>
          <w:color w:val="000000"/>
        </w:rPr>
        <w:t>The CVA Revolving Credit Facility and the CVA Delayed Draw</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Term Loan are subject to a variable rate of interest based on Term SOFR plus an applicable margin. As of December 31, 2024, there was $295 million utilized under the CVA Delayed Draw Term Loan.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we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 commencing April 15, 2025.</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CEI Senior Notes due 2032 were used to redeem approximately $1.1 billion of the principal amount, including accrued and unpaid interest, related expenses and fees of the CEI Senior Notes due 2027. As a result of the early repayment, we recognized $31 million of loss on extinguishment of debt during the year ended December 31,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8, 2018, we announced that our Board of Directors authorized a $150 million common stock repurchase program (the “2018 Share Repurchase Program”). For the year ended December 31, 2024, we reached the limit of authorized repurchases by acquiring 3,872,478 shares of common stock under the 2018 Share Repurchase Program at an aggregate value of $141 million, excluding any applicable excise taxes.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2024, we announced that our Board of Directors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As of December 31, 2024, we have acquired 1,262,990 shares of common stock under the 2024 Share Repurchase Program at an aggregate value of $50 million, excluding any applicable excise taxes. See “Share Repurchase Program” below for details.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expect that our primary capital requirements going forward will relate to the expansion and maintenance of our properties, taxes, servicing our outstanding indebtedness, and rent payments under our GLPI Leases and VICI Leases. We make capital expenditures and perform continuing refurbishment and maintenance at our properties to maintain our quality standards. Our capital expenditure requirements for </w:t>
      </w:r>
      <w:r>
        <w:rPr>
          <w:rFonts w:ascii="Times New Roman" w:cs="Times New Roman" w:eastAsia="Times New Roman" w:hAnsi="Times New Roman"/>
          <w:sz w:val="18"/>
          <w:szCs w:val="18"/>
          <w:color w:val="212529"/>
        </w:rPr>
        <w:t>2025</w:t>
      </w:r>
      <w:r>
        <w:rPr>
          <w:rFonts w:ascii="Times New Roman" w:cs="Times New Roman" w:eastAsia="Times New Roman" w:hAnsi="Times New Roman"/>
          <w:sz w:val="18"/>
          <w:szCs w:val="18"/>
          <w:color w:val="auto"/>
        </w:rPr>
        <w:t xml:space="preserve"> include the completion of expansion projects, hotel renovations and continued investment into new markets with our Caesars Sportsbook and iGaming applications. In addition, we may, from time to time, seek to repurchase or prepay our outstanding indebtedness. Any such purchases or prepayments may be funded by existing cash balances or the incurrence of debt. The amount and timing of any repurchase of debt or common stock will be based on business and market conditions, capital availability, compliance with debt covenants and other considerations.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December 31,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obligations related to these agreements were $421 million and $605 million, respectively, with contracts extending through 2040. These obligations include various third-party agreements which have been entered into by us for certain of our Las Vegas and Regional properties, or our Caesars Digital segment. The agreements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We partnered with the Eastern Band of Cherokee Indians to build and develop Caesars Virginia. On December 17, 2024, Caesars Virginia’s permanent facility opened. Construction of Caesars Virginia’s permanent facility was funded in part by cash flows from the temporary facility as well as funds available under the CVA Credit Agreement</w:t>
      </w:r>
      <w:r>
        <w:rPr>
          <w:rFonts w:ascii="Times New Roman" w:cs="Times New Roman" w:eastAsia="Times New Roman" w:hAnsi="Times New Roman"/>
          <w:sz w:val="18"/>
          <w:szCs w:val="18"/>
          <w:color w:val="000000"/>
        </w:rPr>
        <w:t>. Caesars Virginia</w:t>
      </w:r>
      <w:r>
        <w:rPr>
          <w:rFonts w:ascii="Times New Roman" w:cs="Times New Roman" w:eastAsia="Times New Roman" w:hAnsi="Times New Roman"/>
          <w:sz w:val="18"/>
          <w:szCs w:val="18"/>
          <w:color w:val="212529"/>
        </w:rPr>
        <w:t xml:space="preserve"> is a premier destination resort casino with a 320-room hotel, 1,500 slot machines, 85 live table games, a WSOP Poker Room, a Caesars Sportsbook, a live entertainment theater and 40,000 square feet of meeting and convention space.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Additionally, on May 17, 2024, we opened the permanent facility of Harrah’s Columbus Nebraska which is a casino featuring a new one-mile horse racing surface, an 18,000-square-foot-casino and sportsbook with more than 400 slot machines and 10 table games, as well as a restaurant and retail space.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of the extension of the casino operating contract and ground lease for Caesars New Orleans, formerly Harrah’s New Orleans, we were also required to make a capital investment of at least $325 million on or around Caesars New Orleans. We met our investment commitment and completed the transformation of Harrah’s to Caesars New Orleans in October 2024, which included a renovation and full interior and exterior redesign, casino floor updates, new culinary experiences and a new 340-room hotel tower.</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 xml:space="preserve">Cash used for capital expenditures totaled </w:t>
      </w:r>
      <w:r>
        <w:rPr>
          <w:rFonts w:ascii="Times New Roman" w:cs="Times New Roman" w:eastAsia="Times New Roman" w:hAnsi="Times New Roman"/>
          <w:sz w:val="18"/>
          <w:szCs w:val="18"/>
          <w:color w:val="000000"/>
        </w:rPr>
        <w:t>$1.3 billion, $1.3 billion and $952 million</w:t>
      </w:r>
      <w:r>
        <w:rPr>
          <w:rFonts w:ascii="Times New Roman" w:cs="Times New Roman" w:eastAsia="Times New Roman" w:hAnsi="Times New Roman"/>
          <w:sz w:val="18"/>
          <w:szCs w:val="18"/>
          <w:color w:val="212529"/>
        </w:rPr>
        <w:t xml:space="preserve">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2023 and 2022, respectively, related to our growth, renovation, maintenance, and other capital projects. The following table summarizes our estimates for 2025 capital expenditures.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Low</w:t>
            </w:r>
          </w:p>
        </w:tc>
        <w:tc>
          <w:tcPr>
            <w:tcW w:w="400" w:type="dxa"/>
            <w:vAlign w:val="bottom"/>
          </w:tcPr>
          <w:p>
            <w:pPr>
              <w:spacing w:after="0"/>
              <w:rPr>
                <w:sz w:val="17"/>
                <w:szCs w:val="17"/>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High</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Growth and renovation projects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Caesars Digital</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projects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estimated capital expenditures from unrestricted cash</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6"/>
        </w:trPr>
        <w:tc>
          <w:tcPr>
            <w:tcW w:w="7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6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hanging="332"/>
        <w:spacing w:after="0" w:line="222" w:lineRule="auto"/>
        <w:tabs>
          <w:tab w:leader="none" w:pos="327"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On April 26, 2024, Caesars Virginia, LLC entered into a new five-year $425 million pro rata bank financing to fund the remaining capital expenditures associated with the permanent casino resort facility, which opened on December 17, 2024.</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significant portion of our liquidity needs are for debt service and payments associated with our leases. Our estimated debt service (including principal and interest) is approximately $899 million for </w:t>
      </w:r>
      <w:r>
        <w:rPr>
          <w:rFonts w:ascii="Times New Roman" w:cs="Times New Roman" w:eastAsia="Times New Roman" w:hAnsi="Times New Roman"/>
          <w:sz w:val="18"/>
          <w:szCs w:val="18"/>
          <w:color w:val="212529"/>
        </w:rPr>
        <w:t>2025</w:t>
      </w:r>
      <w:r>
        <w:rPr>
          <w:rFonts w:ascii="Times New Roman" w:cs="Times New Roman" w:eastAsia="Times New Roman" w:hAnsi="Times New Roman"/>
          <w:sz w:val="18"/>
          <w:szCs w:val="18"/>
          <w:color w:val="auto"/>
        </w:rPr>
        <w:t xml:space="preserve">. We also lease certain real property assets from third parties, including VICI and GLPI. The VICI Leases are subject to annual escalations, that take effect in November of each year, based on the Consumer Price Index (“CPI”). In addition to the CPI escalator, November 2024 represents the beginning of the first lease year in which our VICI leases are also subject to a variable rent adjustment based on certain historical net revenues of our leased properties. The next such lease year with a variable rent adjustment begins November 2027. We estimate our lease payments to VICI and GLPI to be approximately $1.3 billion for </w:t>
      </w:r>
      <w:r>
        <w:rPr>
          <w:rFonts w:ascii="Times New Roman" w:cs="Times New Roman" w:eastAsia="Times New Roman" w:hAnsi="Times New Roman"/>
          <w:sz w:val="18"/>
          <w:szCs w:val="18"/>
          <w:color w:val="212529"/>
        </w:rPr>
        <w:t>2025</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Times New Roman" w:cs="Times New Roman" w:eastAsia="Times New Roman" w:hAnsi="Times New Roman"/>
          <w:sz w:val="18"/>
          <w:szCs w:val="18"/>
          <w:color w:val="212529"/>
        </w:rPr>
        <w:t>If an agreed upon selling price for future divestitures does not exceed the carrying value of the assets, we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required to record additional impairment charges in future periods which may be material.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2024, we entered into an agreement to sell the LINQ Promenade to a joint venture between TPG and Acadia for $275 million. On December 12, 2024, we closed the sale for $275 million, resulting in a gain of $34 million, which was recorded in Transaction and other costs, net in the Statements of Operations. The LINQ Promenade was reported within the Las Vegas segment.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2024, we entered into a definitive agreement to sell the WSOP trademark to NSUS for $250 million in cash at closing and a $250 million notes receivable for total consideration of $500 million. On October 29, 2024, we closed the sale to NSUS, resulting in a gain of $317 million, which was recorded in Transaction and other costs, net in the Statements of Operations. The note receivable bears interest at market rate plus an applicable margin, which resets quarterly. Interest and principal are due quarterly through its maturity date of October 29, 2029. Concurrent with signing the sale agreement, we entered into licensing agreements with NSUS that allows us to continue our current operations within the United States, including the WSOP’s live tournament series in Las Vegas for the next 20 years. The WSOP trademark asset was previously reported within the Caesars Digital segment.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12529"/>
        </w:rPr>
        <w:t>expect that our current liquidity, including availability of borrowings under our committed credit facility and cash flows from operations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sufficient to fund our operations, capital requirements and service our outstanding indebtedness for the next twelve months and beyond.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Debt and Master Lease Covenant Compliance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2027, the CEI Senior Notes due 2029 and the CEI Senior Notes due 2032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GLPI Leases and VICI Leases contain certain covenants requiring minimum capital expenditures based on a percentage of net revenues along with maintaining certain financial ratios. The GLPI Leases require the Company to maintain a minimum adjusted revenue to rent ratio of 1.20:1.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Caesars Virginia LLC’s compliance requirements commence starting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8, 2018, we announced that our Board of Directors authorized a $150 million common stock repurchase program. During the year ended December 31, 2024, we reached the limit of authorized repurchases by acquiring 3,872,478 shares of common stock under the 2018 Share Repurchase Program at an aggregate value of $141 million, excluding any applicable excise taxes.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2024, we announced that our Board of Directors authorized a $500 million common stock repurchase program. Under the 2024 Share Repurchase Program, we may, from time to time, repurchase shares of common stock on the open market (either with or without a 10b5-1 plan) or through privately negotiated transactions. As of December 31, 2024, we have acquired 1,262,990 shares of common stock under the 2024 Share Repurchase Program at an aggregate value of $50 million, excluding any applicable excise taxes. The 2024 Share Repurchase Program has no time limit and may be suspended or discontinued at any time without notice. There is no minimum number of shares of common stock that we are required to repurchase under the 2024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 and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Term Loans and CEI Revolving Credit Facility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subject to a springing maturity in the event certain other long-term debt of Caesars is not extended or repaid. The CEI Revolving Credit Facility includes a letter of credit sub-facility of $388 million and contains reserves of $40 million which are available only for certain permitted uses.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5, 2022, Caesars entered into an amendment to the CEI Credit Agreement pursuant to which we incurred a senior secured term loan in an aggregate principal amount of $750 million (the “CEI Term Loan A”) as a new term loan under the credit agreement and made certain other amendments to the CEI Credit Agreement. The CEI Term Loan A will mature on January 31, 2028, subject to a springing maturity in the event certain other long-term debt of Caesars is not extended or repaid. The CEI Term Loan A requires scheduled quarterly payments in amounts equal to 1.25% of the original aggregate principal amount of the CEI Term Loan A, with the balance payable at maturity.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Borrowings under the CEI Revolving Credit Facility and the CEI Term Loan A bear interest, paid at least quarterly, at a rate equal to, at our option, either</w:t>
      </w:r>
    </w:p>
    <w:p>
      <w:pPr>
        <w:spacing w:after="0" w:line="27" w:lineRule="exact"/>
        <w:rPr>
          <w:sz w:val="20"/>
          <w:szCs w:val="20"/>
          <w:color w:val="auto"/>
        </w:rPr>
      </w:pPr>
    </w:p>
    <w:p>
      <w:pPr>
        <w:jc w:val="both"/>
        <w:ind w:firstLine="8"/>
        <w:spacing w:after="0" w:line="251"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case, plus an applicable margin. Such applicable margin is 2.25% per annum in the case of any Adjusted Term SOFR loan and 1.25% per annum in the case of any Base Rate loan, subject to three 0.25% step-downs based on our net total leverage ratio. In addition, on a quarterly basis, we are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our net total leverage ratio.</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2023, we entered into an Incremental Assumption Agreement No. 2 pursuant to which we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in May 2024 and November 2024, bear interest, paid at least quarterly, at a rate equal to, at our option, either (a) Term SOFR, subject to a floor of 0.50% or (b) the Base Rate in each case, plus an applicable margin. Such applicable margin is 2.25% per annum in the case of any Term SOFR loan and 1.25% per annum in the case of any Base Rate loan. The CEI Term Loan B was issued at a price of 99.0% of the principal amount and will mature on February 6, 2030.</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2024, we entered into an Incremental Assumption Agreement No. 3 pursuant to which we incurred a new senior secured incremental term loan in an aggregate principal amount of $2.9 billion of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bear interest, paid at least quarterly, at a rate equal to, at our option, either (a) Term SOFR, subject to a floor of 0.50% or (b) the Base Rate, in each case, plus an applicable margin. Such applicable margin is 2.25% per annum in the case of any Term SOFR loan and 1.25% per annum in the case of any Base Rate loan. The CEI Term Loan B-1 was issued at a price of 99.75% of the principal amount and will mature on February 6, 2031.</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$2.1 billion of available borrowing capacity under the CEI Revolving Credit Facility, after consideration of $84 million in outstanding letters of credit, $46 million committed for regulatory purposes and the reserves described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Virginia Senior Revolving and Delayed Draw Term Loan Credit Facility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in an aggregate principal amount of $400 million of the CVA Delayed Draw Term Loan and a senior secured first lien revolving credit facility in an aggregate principal amount of $25 million of the CVA Revolving Credit Facility, both maturing on April 26, 2029.</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The CVA Delayed Draw Term Loan requires quarterly principal payments commencing on March 31, 2025. </w:t>
      </w:r>
      <w:r>
        <w:rPr>
          <w:rFonts w:ascii="Times New Roman" w:cs="Times New Roman" w:eastAsia="Times New Roman" w:hAnsi="Times New Roman"/>
          <w:sz w:val="18"/>
          <w:szCs w:val="18"/>
          <w:color w:val="000000"/>
        </w:rPr>
        <w:t>The CVA Revolving Credit Facility and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CVA Delayed Draw Term Loan are subject to a variable rate of interest based on </w:t>
      </w:r>
      <w:r>
        <w:rPr>
          <w:rFonts w:ascii="Times New Roman" w:cs="Times New Roman" w:eastAsia="Times New Roman" w:hAnsi="Times New Roman"/>
          <w:sz w:val="18"/>
          <w:szCs w:val="18"/>
          <w:color w:val="212529"/>
        </w:rPr>
        <w:t>Term SOFR plus an applicable margin.</w:t>
      </w:r>
      <w:r>
        <w:rPr>
          <w:rFonts w:ascii="Times New Roman" w:cs="Times New Roman" w:eastAsia="Times New Roman" w:hAnsi="Times New Roman"/>
          <w:sz w:val="18"/>
          <w:szCs w:val="18"/>
          <w:color w:val="000000"/>
        </w:rPr>
        <w:t xml:space="preserve"> The CVA Revolving Credit Facility includes a $10 million letter of credit sub-facility. As of December 31, 2024, there was $295 million utilized under the </w:t>
      </w:r>
      <w:r>
        <w:rPr>
          <w:rFonts w:ascii="Times New Roman" w:cs="Times New Roman" w:eastAsia="Times New Roman" w:hAnsi="Times New Roman"/>
          <w:sz w:val="18"/>
          <w:szCs w:val="18"/>
          <w:color w:val="212529"/>
        </w:rPr>
        <w:t>CVA Delayed Draw 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Loan </w:t>
      </w:r>
      <w:r>
        <w:rPr>
          <w:rFonts w:ascii="Times New Roman" w:cs="Times New Roman" w:eastAsia="Times New Roman" w:hAnsi="Times New Roman"/>
          <w:sz w:val="18"/>
          <w:szCs w:val="18"/>
          <w:color w:val="000000"/>
        </w:rPr>
        <w:t>and $25 million of available borrowing capacity under the CVA Revolving Credit Facility.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2030</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we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2024, we issued $1.5 billion in aggregate principal amount of the CEI Senior Secured Notes due 2032 at 6.50%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2025</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6, 2020, Colt Merger Sub, Inc. (the “Escrow Issuer”) issued $3.4 billion in aggregate principal amount of the CEI Senior Secured Notes due 2025 at 6.25%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scheduled to mature on July 1, 2025, with interest payable semi-annually on January 1 and July 1 of each year. </w:t>
      </w:r>
      <w:r>
        <w:rPr>
          <w:rFonts w:ascii="Times New Roman" w:cs="Times New Roman" w:eastAsia="Times New Roman" w:hAnsi="Times New Roman"/>
          <w:sz w:val="18"/>
          <w:szCs w:val="18"/>
          <w:color w:val="212529"/>
        </w:rPr>
        <w:t>On February 6, 2024, we fully tendered, redeemed, repurchased, defeased, and/or satisfied and discharged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any and all of the principal amounts, including accrued and unpaid interest, related expenses and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CRC Senior Secured Notes due 2025</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6, 2020, the Escrow Issuer issued $1.0 billion in aggregate principal amount of the CRC Senior Secured Notes due 2025 at 5.75%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CRC, CRC Finco, Inc. and the subsidiary guarantors. The CRC Senior Secured Notes were scheduled to mature on July 1, 2025, with interest payable semi-annually on January 1 and July 1 of each year. On February 16, 2024, we fully tendered, redeemed</w:t>
      </w:r>
      <w:r>
        <w:rPr>
          <w:rFonts w:ascii="Times New Roman" w:cs="Times New Roman" w:eastAsia="Times New Roman" w:hAnsi="Times New Roman"/>
          <w:sz w:val="18"/>
          <w:szCs w:val="18"/>
          <w:color w:val="212529"/>
        </w:rPr>
        <w:t>, repurchased, defeased, and/or satisfied and discharged any and all of the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amounts, including accrued and unpaid interest, related expenses and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2027</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6, 2020, the Escrow Issuer issued $1.8 billion in aggregate principal amount of 8.125% Senior Notes due </w:t>
      </w:r>
      <w:r>
        <w:rPr>
          <w:rFonts w:ascii="Times New Roman" w:cs="Times New Roman" w:eastAsia="Times New Roman" w:hAnsi="Times New Roman"/>
          <w:sz w:val="16"/>
          <w:szCs w:val="16"/>
          <w:color w:val="auto"/>
        </w:rPr>
        <w:t>2027</w:t>
      </w:r>
      <w:r>
        <w:rPr>
          <w:rFonts w:ascii="Times New Roman" w:cs="Times New Roman" w:eastAsia="Times New Roman" w:hAnsi="Times New Roman"/>
          <w:sz w:val="18"/>
          <w:szCs w:val="18"/>
          <w:color w:val="auto"/>
        </w:rPr>
        <w:t xml:space="preserve">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net proceeds from the issuance of the CEI Senior Notes due 2032 were used to </w:t>
      </w:r>
      <w:r>
        <w:rPr>
          <w:rFonts w:ascii="Times New Roman" w:cs="Times New Roman" w:eastAsia="Times New Roman" w:hAnsi="Times New Roman"/>
          <w:sz w:val="18"/>
          <w:szCs w:val="18"/>
          <w:color w:val="212529"/>
        </w:rPr>
        <w:t>redeem approximately $1.1 billion of the principal amount,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accrued and unpaid interest, related expenses and fees of the </w:t>
      </w:r>
      <w:r>
        <w:rPr>
          <w:rFonts w:ascii="Times New Roman" w:cs="Times New Roman" w:eastAsia="Times New Roman" w:hAnsi="Times New Roman"/>
          <w:sz w:val="18"/>
          <w:szCs w:val="18"/>
          <w:color w:val="000000"/>
        </w:rPr>
        <w:t>CEI Senior Notes due 2027. As a result of the early repayment, we recognized $31 million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loss on extinguishment of debt during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2021, we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we issued $1.1 billion in aggregate principal amount of the CEI Senior Notes due 2032 at 6.00%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 commencing April 15, 2025.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VICI Leases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CEI leases certain real property assets from VICI under the following agreements: (i) for a portfolio of properties located throughout the United States (the “Regional Lease”), (ii) for Caesars Palace Las Vegas and Harrah’s Las Vegas (the “Las Vegas Lease”), and (iii) for Harrah’s Joliet (the “Joliet Lease”), collectively, VICI Leases. The lease agreements, inclusive of all amendments, include (i) a 15-year initial term with four five-year renewal options, (ii) initial annual fixed rent payments of $1.1 billion, subject to annual escalation provisions based on the CPI and a 2% floor which commenced in lease year two of the initial terms and (iii) a variable element based on net revenues of the underlying leased properties, commencing in lease year eight of the initial term.</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Regional Lease included a Put-Call Right Agreement whereby we could have required VICI to purchase and lease back (as lessor) or whereby VICI could have required us to sell to VICI and lease back (as lessee) the real estate components of the gaming and racetrack facilities of Harrah’s Hoosier Park Racing &amp; Casino and Horseshoe Indianapolis. The election period expired as of December 31, 2024 and the option was not exercised.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Our VICI Leases are accounted for as a financing obligation and totaled $11.6 billion as of December 31, 2024.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Financial Statements for additional information about our VICI Leases and related matters.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GLPI Leases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CEI leases certain real property assets from GLPI under the Master Lease (as amended, the “GLPI Master Lease”). The GLPI Master Lease, encompassing a portfolio of properties within the United States, provides for the lease of land, buildings, structures and other improvements on the land, easements and similar appurtenances to the land and improvements relating to the operation of the leased properties. The GLPI Master Lease, inclusive of all amendments, provides for (i) an initial term of 20 years (through September 2038), (ii) four five-year renewals at the our option, (iii) annual land and building base rent of $24 million and $63 million, respectively, (iv) escalating provisions of building base rent equal to 101.25% of the rent for the preceding year for lease years five and six, 101.75% for lease years seven and eight and 102% for each lease year thereafter, and (v) relief from the operating, capital expenditure and financial covenants in the event of involuntary closures.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also leases the real estate underlying Horseshoe St. Louis from GLPI, (the “Lumière Lease”).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and (v) certain relief under the financial covenant in the event of involuntary closures.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GLPI Leases are accounted for as financing obligations and totaled $1.3 billion as of December 31, 2024.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Financial Statements for additional information about our GLPI Leases and related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faced with certain contingencies, from time to time, involving litigation, claims, assessments, environmental remediation or compliance. These commitments and contingencies are discussed in greater detail in “</w:t>
      </w:r>
      <w:r>
        <w:rPr>
          <w:rFonts w:ascii="Times New Roman" w:cs="Times New Roman" w:eastAsia="Times New Roman" w:hAnsi="Times New Roman"/>
          <w:sz w:val="18"/>
          <w:szCs w:val="18"/>
          <w:i w:val="1"/>
          <w:iCs w:val="1"/>
          <w:u w:val="single" w:color="auto"/>
          <w:color w:val="0000FF"/>
        </w:rPr>
        <w:t>Part I, Item 3. Legal Proceedings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our Financial Statements, both of which are included elsewhere in this Annual Report on Form 10-K. See “</w:t>
      </w:r>
      <w:r>
        <w:rPr>
          <w:rFonts w:ascii="Times New Roman" w:cs="Times New Roman" w:eastAsia="Times New Roman" w:hAnsi="Times New Roman"/>
          <w:sz w:val="18"/>
          <w:szCs w:val="18"/>
          <w:i w:val="1"/>
          <w:iCs w:val="1"/>
          <w:u w:val="single" w:color="auto"/>
          <w:color w:val="0000FF"/>
        </w:rPr>
        <w:t>Part I, Item 1A. Risk Factors—Risks Related to Our Business</w:t>
      </w:r>
      <w:r>
        <w:rPr>
          <w:rFonts w:ascii="Times New Roman" w:cs="Times New Roman" w:eastAsia="Times New Roman" w:hAnsi="Times New Roman"/>
          <w:sz w:val="18"/>
          <w:szCs w:val="18"/>
          <w:color w:val="auto"/>
        </w:rPr>
        <w:t>” which is included elsewhere 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GAAP. In preparing our financial statements, we have made our best estimates and judgments of the amounts and disclosures included in the financial statements, giving regard to materiality. When more than one accounting principle, or method of its application, is generally accepted, we select the principle or method that we consider to be the most appropriate under specific circumstances. Application of these accounting principles requires us to make estimates about the future resolution of existing uncertainties. Certain of our accounting policies, including those in connection with income taxes, goodwill and indefinite lived intangible assets, long-lived assets, allowance for doubtful accounts related to certain gaming receivables, self-insurance reserves, and litigation, claims and assessments require that we apply significant judgment in defining the appropriate assumptions for calculating financial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accounting estimates to be critical accounting policies when:</w:t>
      </w:r>
    </w:p>
    <w:p>
      <w:pPr>
        <w:spacing w:after="0" w:line="6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involve matters that are highly uncertain at the time the accounting estimate is made;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estimates or changes to estimates could have a material impact on the reported financial position, changes in financial position, or 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By their nature, these judgments and estimates are subject to an inherent degree of uncertainty. Our judgments and estimates are based on our historical experience, terms of existing contracts, observance of trends in the industry, information gathered from customer behavior, and information available from other outside sources, as appropriate. Due to the inherent uncertainty involving judgments and estimates, actual results may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most critical accounting estimates and assumptions are in the following areas: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and our subsidiaries file income tax returns with federal, state and foreign jurisdictions. Our income tax returns are subject to examination by the Internal Revenue Service (“IRS”) and other tax authorities. Positions taken in tax returns are sometimes subject to uncertainty in the tax laws and may not ultimately be accepted by the IRS or other tax authorities.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in the accompanying consolidated financial statements for a discussion of the status and impact of examinations by tax authorities.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Management assesses the available positive and negative evidence to estimate if sufficient future taxable income will be generated to use existing deferred tax assets. During the second quarter of 2023, we evaluated our forecasted adjusted taxable income and objectively verifiable evidence and placed substantial weight on our 2022 and 2023 quarterly earnings, adjusted for non-recurring items, including the interest expense disallowed under current tax law. Accordingly, we determined it was more likely than not that a portion of the federal and state deferred tax assets will be realized and, as a result, during the second quarter of 2023, we reversed the valuation allowance related to these deferred tax assets and recorded an income tax benefit of $940 million. We are still carrying a valuation allowance on certain federal and state deferred tax assets that are not more likely than not to be realized in the future. We have assessed the changes to the valuation allowance, including realization of the disallowed interest expense deferred tax asset, using the integrated approach.</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$52 million and $9.1 billion, respectively, and federal general business tax credit and research tax credit carryforwards of $89 million, which will expire on various dates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Year of Expiration</w:t>
            </w:r>
          </w:p>
        </w:tc>
        <w:tc>
          <w:tcPr>
            <w:tcW w:w="360" w:type="dxa"/>
            <w:vAlign w:val="bottom"/>
          </w:tcPr>
          <w:p>
            <w:pPr>
              <w:spacing w:after="0"/>
              <w:rPr>
                <w:sz w:val="18"/>
                <w:szCs w:val="18"/>
                <w:color w:val="auto"/>
              </w:rPr>
            </w:pPr>
          </w:p>
        </w:tc>
        <w:tc>
          <w:tcPr>
            <w:tcW w:w="336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Net Operating Losses</w:t>
            </w:r>
          </w:p>
        </w:tc>
        <w:tc>
          <w:tcPr>
            <w:tcW w:w="30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 Credits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50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6"/>
                <w:szCs w:val="16"/>
                <w:b w:val="1"/>
                <w:bCs w:val="1"/>
                <w:color w:val="auto"/>
              </w:rPr>
              <w:t>Federal</w:t>
            </w:r>
          </w:p>
        </w:tc>
        <w:tc>
          <w:tcPr>
            <w:tcW w:w="380" w:type="dxa"/>
            <w:vAlign w:val="bottom"/>
          </w:tcPr>
          <w:p>
            <w:pPr>
              <w:spacing w:after="0"/>
              <w:rPr>
                <w:sz w:val="13"/>
                <w:szCs w:val="13"/>
                <w:color w:val="auto"/>
              </w:rPr>
            </w:pPr>
          </w:p>
        </w:tc>
        <w:tc>
          <w:tcPr>
            <w:tcW w:w="13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States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ind w:left="320"/>
              <w:spacing w:after="0" w:line="142" w:lineRule="exact"/>
              <w:rPr>
                <w:sz w:val="20"/>
                <w:szCs w:val="20"/>
                <w:color w:val="auto"/>
              </w:rPr>
            </w:pPr>
            <w:r>
              <w:rPr>
                <w:rFonts w:ascii="Times New Roman" w:cs="Times New Roman" w:eastAsia="Times New Roman" w:hAnsi="Times New Roman"/>
                <w:sz w:val="16"/>
                <w:szCs w:val="16"/>
                <w:b w:val="1"/>
                <w:bCs w:val="1"/>
                <w:color w:val="auto"/>
              </w:rPr>
              <w:t>Federal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2025-2029</w:t>
            </w:r>
          </w:p>
        </w:tc>
        <w:tc>
          <w:tcPr>
            <w:tcW w:w="5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2030-2034</w:t>
            </w:r>
          </w:p>
        </w:tc>
        <w:tc>
          <w:tcPr>
            <w:tcW w:w="5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2035-2044</w:t>
            </w:r>
          </w:p>
        </w:tc>
        <w:tc>
          <w:tcPr>
            <w:tcW w:w="56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Do not expire</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applicable accounting standards,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derecognition, classification, interest and penalties on income taxes, accounting in interim periods and disclosure requirements for uncertain tax positions.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Indefinite-lived Intangible Assets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Assessing goodwill and indefinite-lived intangible assets for impairment is a process that requires significant judgment and involves detailed qualitative and quantitative business-specific analysis and many individual assumptions which fluctuate between assessments.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the estimated fair value of each reporting unit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the fair value of our indefinite-lived intangible assets using either the relief from royalty method or the excess earnings method under the income approach or a replacement cost market approach. The determination of fair value of our reporting units and indefinite-lived intangible assets requires management to make significant assumptions and estimates around the forecasts as well as the selection of discount rates and valuation multiples. Changes in these estimates could have a significant impact on the fair value of our reporting units, intangible assets and result in potential impairment.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Forecasts and the determination of appropriate discount rates and valuation multiples used to determine the fair value of our reporting units and indefinite-lived intangible assets involves significant assumptions and estimates. Assumptions include those used to assess effects of changes in the competitive environment, capital projects and new developments which may not be realized at the projected rate.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completed our annual impairment tests as of October 1, 2024. As a result, we recognized impairment charges in our Regional and Las Vegas segments. Our Regional segment’s impairments were due to a decrease in projected future cash flows at certain regional properties primarily due to localized competition within certain markets. We identified six reporting units in the Regional segment with estimated fair values associated with trademarks, gaming rights and goodwill below their respective carrying values and recorded impairments. This resulted in trademark impairment of $15 million, gaming rights impairment of $73 million and goodwill impairment of $182 million within the segment. Impairment charges of $32 million to a trademark were also recorded due to the performance of our smallest brand in the Las Vegas segment.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October 1, 2024, four reporting units in the Regional segment and one reporting unit in the Las Vegas segment with goodwill totaling $1.2 billion had fair values that did not significantly exceed their respective carrying values. In addition, we identified one trademark totaling $22 million in the Regional segment that did not significantly exceed its carrying value. The reporting units and indefinite lived intangible assets with carrying values that do not significantly exceed their estimated fair values are primarily assets acquired in the Merger when our discount rate was approximately 9.5%. The discount rate used in our annual impairment testing as of October 1, 2024 was approximately 10.0%. To the extent gaming volumes deteriorate in the near future, discount rates increase significantly, or we do not meet our projected performance, we may recognize further impairments, and such impairments could be material. The discount rate represents the most sensitive input in our estimates and an increase of 1% to the discount rate would result in additional impairments of approximately $130 million on the assets that do not significantly exceed their carrying values. In addition, $1.0 billion of goodwill within our Regional segment and $462 million in our Las Vegas segment are associated with reporting units with zero or negative carrying values.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Long-Lived Assets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significant capital invested in our long-lived assets, and judgments are made in determining the estimated useful lives of assets, salvage values to be assigned to assets, and if or when an asset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 We review the carrying value of our long-lived assets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planned construction and renovation projects, as well as the effect of obsolescence, demand, competition, and other economic, legal, and regulatory factors. In estimating expected future cash flows for determining whether an asset is impaired, assets are grouped at the lowest level of identifiable cash flows, which, for most of our assets, is the individual property.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additional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Doubtful Accounts - Gaming</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and reasonable forecasts are considered, as are customer relationships, in determining specific reserves to reflect current expected credit loss. As with many estimates, management must make judgments about potential actions by third parties in establishing and evaluating our reserves for allowance for doubtful accounts. As of December 31, 2024, a 5% increase or decrease to the allowance determined based on a percentage of aged receivables would change the reserve by approximately $15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Self-Insurance Reserves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self-insured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of estimated insurance liabilities. While the total cost of claims incurred depends on future developments, in managements’ opinion, recorded reserves are adequate to cover future claims payments. Self-insurance reserves for employee medical claims, workers’ compensations and general liability claims are included within Accrued other liabilities on the Balance Sheets.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Claims and Assessments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with respect to recent accounting pronouncements and the potential impact of these pronouncements on our Financial Statements, see </w:t>
      </w:r>
      <w:r>
        <w:rPr>
          <w:rFonts w:ascii="Times New Roman" w:cs="Times New Roman" w:eastAsia="Times New Roman" w:hAnsi="Times New Roman"/>
          <w:sz w:val="18"/>
          <w:szCs w:val="18"/>
          <w:u w:val="single" w:color="auto"/>
          <w:color w:val="0000FF"/>
        </w:rPr>
        <w:t>Note 2, Basis of Presentation and Significant Accounting Policies – Recently Issued Accounting Pronouncements</w:t>
      </w:r>
      <w:r>
        <w:rPr>
          <w:rFonts w:ascii="Times New Roman" w:cs="Times New Roman" w:eastAsia="Times New Roman" w:hAnsi="Times New Roman"/>
          <w:sz w:val="18"/>
          <w:szCs w:val="18"/>
          <w:color w:val="000000"/>
        </w:rPr>
        <w:t>.</w:t>
      </w:r>
    </w:p>
    <w:p>
      <w:pPr>
        <w:spacing w:after="0" w:line="1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7A.</w:t>
      </w:r>
      <w:r>
        <w:rPr>
          <w:sz w:val="20"/>
          <w:szCs w:val="20"/>
          <w:color w:val="auto"/>
        </w:rPr>
        <w:tab/>
      </w:r>
      <w:r>
        <w:rPr>
          <w:rFonts w:ascii="Times New Roman" w:cs="Times New Roman" w:eastAsia="Times New Roman" w:hAnsi="Times New Roman"/>
          <w:sz w:val="21"/>
          <w:szCs w:val="21"/>
          <w:b w:val="1"/>
          <w:bCs w:val="1"/>
          <w:color w:val="BF2115"/>
        </w:rPr>
        <w:t>Quantitative and Qualitative Disclosures About Market Risk</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adjusting our mix of fixed and variable rate borrowings.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face value of long-term debt was $12.3 billion, including variable-rate long-term borrowings of $5.9 billion under the CEI Term Loans and the CVA Delayed Draw Term Loan. No amounts were outstanding under the CEI Revolving Credit Facility or the CVA Revolving Credit Facility.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as of December 31, 2024 about our fixed rate and variable rate financial instruments that are sensitive to changes in interest rates, including the cash flows associated with amortization and average interest rates. Principal amounts are used to calculate the payments to be exchanged under the related agreements and average variable rates are based on implied forward rates in the yield curve as of December 31, 2024 and should not be considered a predictor of actual future interest rates.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Expected Maturity Date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2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4"/>
                <w:szCs w:val="14"/>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8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w:t>
            </w:r>
          </w:p>
        </w:tc>
      </w:tr>
      <w:tr>
        <w:trPr>
          <w:trHeight w:val="213"/>
        </w:trPr>
        <w:tc>
          <w:tcPr>
            <w:tcW w:w="20" w:type="dxa"/>
            <w:vAlign w:val="bottom"/>
          </w:tcPr>
          <w:p>
            <w:pPr>
              <w:spacing w:after="0"/>
              <w:rPr>
                <w:sz w:val="18"/>
                <w:szCs w:val="18"/>
                <w:color w:val="auto"/>
              </w:rPr>
            </w:pPr>
          </w:p>
        </w:tc>
        <w:tc>
          <w:tcPr>
            <w:tcW w:w="2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r>
      <w:tr>
        <w:trPr>
          <w:trHeight w:val="210"/>
        </w:trPr>
        <w:tc>
          <w:tcPr>
            <w:tcW w:w="20" w:type="dxa"/>
            <w:vAlign w:val="bottom"/>
          </w:tcPr>
          <w:p>
            <w:pPr>
              <w:spacing w:after="0"/>
              <w:rPr>
                <w:sz w:val="18"/>
                <w:szCs w:val="18"/>
                <w:color w:val="auto"/>
              </w:rPr>
            </w:pPr>
          </w:p>
        </w:tc>
        <w:tc>
          <w:tcPr>
            <w:tcW w:w="2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borrowings outstanding under our CEI credit agreement and the CVA Delayed Draw Term Loan were variable-rate borrowings. Assuming a 100 basis-point increase in Term SOFR, our annual interest cost would change by approximately $59 million based on gross amounts outstanding at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purchase or hold any derivative financial instruments for trading purposes.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6" w:name="page57"/>
    <w:bookmarkEnd w:id="56"/>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8.</w:t>
      </w:r>
      <w:r>
        <w:rPr>
          <w:sz w:val="20"/>
          <w:szCs w:val="20"/>
          <w:color w:val="auto"/>
        </w:rPr>
        <w:tab/>
      </w:r>
      <w:r>
        <w:rPr>
          <w:rFonts w:ascii="Times New Roman" w:cs="Times New Roman" w:eastAsia="Times New Roman" w:hAnsi="Times New Roman"/>
          <w:sz w:val="21"/>
          <w:szCs w:val="21"/>
          <w:b w:val="1"/>
          <w:bCs w:val="1"/>
          <w:color w:val="BF2115"/>
        </w:rPr>
        <w:t>Financial Statements and Supplementary Data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6"/>
        </w:trPr>
        <w:tc>
          <w:tcPr>
            <w:tcW w:w="20" w:type="dxa"/>
            <w:vAlign w:val="bottom"/>
            <w:shd w:val="clear" w:color="auto" w:fill="CCEEFF"/>
          </w:tcPr>
          <w:p>
            <w:pPr>
              <w:spacing w:after="0"/>
              <w:rPr>
                <w:sz w:val="17"/>
                <w:szCs w:val="17"/>
                <w:color w:val="auto"/>
              </w:rPr>
            </w:pPr>
          </w:p>
        </w:tc>
        <w:tc>
          <w:tcPr>
            <w:tcW w:w="10480" w:type="dxa"/>
            <w:vAlign w:val="bottom"/>
            <w:gridSpan w:val="8"/>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7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58</w:t>
            </w: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260" w:type="dxa"/>
            <w:vAlign w:val="bottom"/>
            <w:tcBorders>
              <w:top w:val="single" w:sz="8" w:color="CCEEFF"/>
            </w:tcBorders>
            <w:gridSpan w:val="2"/>
          </w:tcPr>
          <w:p>
            <w:pPr>
              <w:spacing w:after="0"/>
              <w:rPr>
                <w:sz w:val="16"/>
                <w:szCs w:val="16"/>
                <w:color w:val="auto"/>
              </w:rPr>
            </w:pPr>
          </w:p>
        </w:tc>
        <w:tc>
          <w:tcPr>
            <w:tcW w:w="74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660" w:type="dxa"/>
            <w:vAlign w:val="bottom"/>
            <w:tcBorders>
              <w:bottom w:val="single" w:sz="8" w:color="CCEEFF"/>
            </w:tcBorders>
            <w:gridSpan w:val="6"/>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61</w:t>
            </w:r>
          </w:p>
        </w:tc>
      </w:tr>
      <w:tr>
        <w:trPr>
          <w:trHeight w:val="189"/>
        </w:trPr>
        <w:tc>
          <w:tcPr>
            <w:tcW w:w="20" w:type="dxa"/>
            <w:vAlign w:val="bottom"/>
          </w:tcPr>
          <w:p>
            <w:pPr>
              <w:spacing w:after="0"/>
              <w:rPr>
                <w:sz w:val="16"/>
                <w:szCs w:val="16"/>
                <w:color w:val="auto"/>
              </w:rPr>
            </w:pPr>
          </w:p>
        </w:tc>
        <w:tc>
          <w:tcPr>
            <w:tcW w:w="104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920" w:type="dxa"/>
            <w:vAlign w:val="bottom"/>
            <w:tcBorders>
              <w:bottom w:val="single" w:sz="8" w:color="CCEEFF"/>
            </w:tcBorders>
            <w:gridSpan w:val="3"/>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63</w:t>
            </w:r>
          </w:p>
        </w:tc>
      </w:tr>
      <w:tr>
        <w:trPr>
          <w:trHeight w:val="189"/>
        </w:trPr>
        <w:tc>
          <w:tcPr>
            <w:tcW w:w="20" w:type="dxa"/>
            <w:vAlign w:val="bottom"/>
          </w:tcPr>
          <w:p>
            <w:pPr>
              <w:spacing w:after="0"/>
              <w:rPr>
                <w:sz w:val="16"/>
                <w:szCs w:val="16"/>
                <w:color w:val="auto"/>
              </w:rPr>
            </w:pPr>
          </w:p>
        </w:tc>
        <w:tc>
          <w:tcPr>
            <w:tcW w:w="104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7" w:name="page58"/>
    <w:bookmarkEnd w:id="5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Caesars Entertainment,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Caesars Entertainment, Inc. and subsidiaries (the “Company”) as of December 31, 2024 and 2023, the related consolidated statements of operations, comprehensive income (loss), stockholders’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Refer to Note 5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and between annual test dates in certain circumstances. The Company performs its impairment test by comparing the fair value of each reporting unit to the carrying amount. The Company determines the established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considering the prevailing borrowing rates within the casino industry in general, and expected sales proceeds. The Company further evaluates the aggregate fair value of all reporting units and other non-operating assets in comparison to its aggregate debt and equity market capitalization at the test date.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impairment assessment as of October 1, 2024. The Company’s goodwill balance was $10,601 million as of December 31, 2024 of which: (1) $1.1 billion and $71 million was related to three reporting units in the Regional segment and one reporting unit in the Las Vegas segment, respectively, had estimated fair values that did not significantly exceed their carrying values.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the Company’s reporting units’ fair value requires management to make significant assumptions and estimates around forecasts and the selection of discount rates. Therefore, our audit procedures to evaluate the reasonableness of management’s forecasts required a higher degree of auditor judgement, increased level of audit effort, and use of more experienced audit professionals, as well as the involvement of valuation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forecasts and the selection of discount rates used by management to determine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reporting units included the following, among others:</w:t>
      </w:r>
    </w:p>
    <w:p>
      <w:pPr>
        <w:spacing w:after="0" w:line="153" w:lineRule="exact"/>
        <w:rPr>
          <w:sz w:val="20"/>
          <w:szCs w:val="20"/>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Company’s internal controls over valuation inputs including management’s forecasts and the selection of discount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management’s historical projections to actual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assumptions and estimates included in management’s forecasts by:</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forecasts to information included in the Company’s communications to the Board of Directors, projected information in industry reports, and analyst reports for the Company and peer companies.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with property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impact of changes in the competitive, regulatory, and economic environment on management’s projections.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strategic plans incorporated by management into the projections.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estimate and the impact of any related expansion of gaming activities by analyzing historical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discount rates selected by management by:</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impact of the uncertainty in the forecasts on the discount rates, including testing the underlying market-based source information used in the selection of the discount rates and the mathematical accuracy of the discount rate calculations.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discount rates selected by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25,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2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par value)</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7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7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2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580" w:type="dxa"/>
            <w:vAlign w:val="bottom"/>
            <w:shd w:val="clear" w:color="auto" w:fill="CCEEFF"/>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and advances to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Intangible assets other than goodwill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jc w:val="center"/>
              <w:ind w:right="217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Accrued other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financing obligation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8</w:t>
            </w: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Preferred stock, $0.00001 par value, 150,000,000 shares authorized, no shares issued and outstanding</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240" w:type="dxa"/>
            <w:vAlign w:val="bottom"/>
            <w:gridSpan w:val="4"/>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$0.00001 par value, 500,000,000 shares authorized, 211,325,086 and 215,800,650 issued and outstanding,</w:t>
            </w:r>
          </w:p>
        </w:tc>
        <w:tc>
          <w:tcPr>
            <w:tcW w:w="3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of treasury shares</w:t>
            </w:r>
          </w:p>
        </w:tc>
        <w:tc>
          <w:tcPr>
            <w:tcW w:w="3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Treasury stock at cost, 0 and 363,016 shares held</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4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6"/>
                <w:szCs w:val="16"/>
                <w:color w:val="auto"/>
              </w:rPr>
              <w:t>Caesars stockholders' equity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40" w:type="dxa"/>
            <w:vAlign w:val="bottom"/>
            <w:tcBorders>
              <w:bottom w:val="single" w:sz="8" w:color="CCEEFF"/>
            </w:tcBorders>
            <w:gridSpan w:val="4"/>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20" w:type="dxa"/>
            <w:vAlign w:val="bottom"/>
          </w:tcPr>
          <w:p>
            <w:pPr>
              <w:spacing w:after="0"/>
              <w:rPr>
                <w:sz w:val="16"/>
                <w:szCs w:val="16"/>
                <w:color w:val="auto"/>
              </w:rPr>
            </w:pPr>
          </w:p>
        </w:tc>
        <w:tc>
          <w:tcPr>
            <w:tcW w:w="1100" w:type="dxa"/>
            <w:vAlign w:val="bottom"/>
          </w:tcPr>
          <w:p>
            <w:pPr>
              <w:jc w:val="right"/>
              <w:ind w:right="459"/>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9"/>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9"/>
              <w:spacing w:after="0" w:line="169"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0" w:type="dxa"/>
            <w:vAlign w:val="bottom"/>
          </w:tcPr>
          <w:p>
            <w:pPr>
              <w:spacing w:after="0"/>
              <w:rPr>
                <w:sz w:val="1"/>
                <w:szCs w:val="1"/>
                <w:color w:val="auto"/>
              </w:rPr>
            </w:pPr>
          </w:p>
        </w:tc>
      </w:tr>
      <w:tr>
        <w:trPr>
          <w:trHeight w:val="19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Corporate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Impairment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w:t>
            </w:r>
          </w:p>
        </w:tc>
        <w:tc>
          <w:tcPr>
            <w:tcW w:w="0" w:type="dxa"/>
            <w:vAlign w:val="bottom"/>
          </w:tcPr>
          <w:p>
            <w:pPr>
              <w:spacing w:after="0"/>
              <w:rPr>
                <w:sz w:val="1"/>
                <w:szCs w:val="1"/>
                <w:color w:val="auto"/>
              </w:rPr>
            </w:pPr>
          </w:p>
        </w:tc>
      </w:tr>
      <w:tr>
        <w:trPr>
          <w:trHeight w:val="207"/>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0" w:type="dxa"/>
            <w:vAlign w:val="bottom"/>
          </w:tcPr>
          <w:p>
            <w:pPr>
              <w:spacing w:after="0"/>
              <w:rPr>
                <w:sz w:val="1"/>
                <w:szCs w:val="1"/>
                <w:color w:val="auto"/>
              </w:rPr>
            </w:pPr>
          </w:p>
        </w:tc>
      </w:tr>
      <w:tr>
        <w:trPr>
          <w:trHeight w:val="207"/>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(loss) from continuing operations, net of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Discontinued operations, net of income taxes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7"/>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income (loss) per share - basic and 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 income (loss) per share from continuing operations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 loss per share from discontinued operations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Basic income (loss) per share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income (loss) per share from continuing operations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 loss per share from discontinued operations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Diluted income (loss) per share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basic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0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58"/>
        </w:trPr>
        <w:tc>
          <w:tcPr>
            <w:tcW w:w="6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2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fair market value of interest rate swaps, net of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19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Comprehensive income (loss) attributable to Caesars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6"/>
                <w:szCs w:val="16"/>
                <w:b w:val="1"/>
                <w:bCs w:val="1"/>
                <w:color w:val="auto"/>
              </w:rPr>
              <w:t>Caesars Stockholders' Equity</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3"/>
            <w:vMerge w:val="continue"/>
          </w:tcPr>
          <w:p>
            <w:pPr>
              <w:spacing w:after="0"/>
              <w:rPr>
                <w:sz w:val="14"/>
                <w:szCs w:val="14"/>
                <w:color w:val="auto"/>
              </w:rPr>
            </w:pPr>
          </w:p>
        </w:tc>
        <w:tc>
          <w:tcPr>
            <w:tcW w:w="122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2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4"/>
                <w:szCs w:val="14"/>
                <w:color w:val="auto"/>
              </w:rPr>
            </w:pPr>
          </w:p>
        </w:tc>
        <w:tc>
          <w:tcPr>
            <w:tcW w:w="8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Other comprehensive</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income (loss), net of tax</w:t>
            </w:r>
          </w:p>
        </w:tc>
        <w:tc>
          <w:tcPr>
            <w:tcW w:w="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related to</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share settlement of</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 awards</w:t>
            </w:r>
          </w:p>
        </w:tc>
        <w:tc>
          <w:tcPr>
            <w:tcW w:w="6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Other comprehensive</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income, net of tax</w:t>
            </w:r>
          </w:p>
        </w:tc>
        <w:tc>
          <w:tcPr>
            <w:tcW w:w="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related to</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share settlement of</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 awards</w:t>
            </w:r>
          </w:p>
        </w:tc>
        <w:tc>
          <w:tcPr>
            <w:tcW w:w="6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2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Other comprehensive loss,</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of tax</w:t>
            </w:r>
          </w:p>
        </w:tc>
        <w:tc>
          <w:tcPr>
            <w:tcW w:w="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related to</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share settlement of</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 awards</w:t>
            </w:r>
          </w:p>
        </w:tc>
        <w:tc>
          <w:tcPr>
            <w:tcW w:w="6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Cancellation of shares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issued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of common</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8"/>
        </w:trPr>
        <w:tc>
          <w:tcPr>
            <w:tcW w:w="21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Discontinued operations, net of income taxes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(Gain) loss on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(Gain) loss on sale or disposal of property, equipment, trademark and businesses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charges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derivatives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non-cash adjustments to net (income) loss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receivable and payable,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gaming rights and developed technology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equipment, trademark and businesses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insurance related to property damage</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 from unconsolidated affiliate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revolving credit facilities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obligation payments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Debt issuance and extinguishment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Payments to acquire ownership interest in subsidiary</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Contributions from noncontrolling interest owners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 owners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DISCONTINUED OPERATIONS: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07"/>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cash from discontinued operations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2"/>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foreign currency exchange rates on cash</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7"/>
        </w:trPr>
        <w:tc>
          <w:tcPr>
            <w:tcW w:w="20" w:type="dxa"/>
            <w:vAlign w:val="bottom"/>
          </w:tcPr>
          <w:p>
            <w:pPr>
              <w:spacing w:after="0"/>
              <w:rPr>
                <w:sz w:val="17"/>
                <w:szCs w:val="17"/>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r>
      <w:tr>
        <w:trPr>
          <w:trHeight w:val="212"/>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7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REPORTED WITHIN THE CONSOLIDATED BALANCE SHEETS: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and escrow cash included in other long-term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9"/>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interest paid for debt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interest paid for rent related to financing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paid,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Payables for capital expenditures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Note receivable from WSOP trademark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consolidated financial statements include the accounts of Caesars Entertainment, Inc., a Delaware corporation, and its consolidated subsidiaries which may be referred to as the “Company,” “CEI,” “Caesars,” “we,” “our,” “us,” or the “Registrant” within these financial statements.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which are prepared in accordance with accounting principles generally accepted in the United States (“GAAP”). References to numbered “Notes” refer to Notes to our Consolidated Financial Statements included 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 Organization and Description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leases, brands or manages an aggregate of 53 domestic properties in 18 states with approximately 51,400 slot machines, video lottery terminals and e-tables, approximately 2,800 table games and approximately 45,600 hotel rooms as of December 31, 2024. In addition, the Company has other properties in North America that are authorized to use the brands and marks of Caesars Entertainment, Inc., as well as other non-gaming properties. The Company’s primary source of revenue is generated by its gaming operations, which includes retail and online sports betting and online gaming. Additionally, the Company utilizes its hotels, restaurants, bars, entertainment, racing, retail shops and other services to attract customers to its properties.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for retail and online sports betting, iGaming, horse racing and online poker are included under the Caesars Digital segment. The Company operates and conducts sports wagering across 32 jurisdictions in North America, 26 of which offer online sports betting, and operates iGaming in five jurisdictions in North America as of December 31, 2024. The Company operates the Caesars Sportsbook app, the Caesars Racebook app, the Caesars Palace Online Casino app and the new Horseshoe Online Casino app which initially launched in October 2024. The Company also expects to continue to grow its operations in the Caesars Digital segment as new jurisdictions legalize retail and online sports betting and iGaming.</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divested certain properties and other assets, including non-core properties and divestitures required by regulatory agencies.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for a discussion of properties and assets recently sold and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for 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2. Basis of Presentation and Significant Accounting Policies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significant accounting policy disclosures are provided within the applicable Notes to the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which requires management to make estimates and assumptions that affect the reported amounts of assets, liabilities, revenues, and expenses and the disclosure of contingent assets and liabilities. Management believes the accounting estimates are appropriate and reasonably determined. Actual amounts could materially differ from those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presentation of financial information herein for the periods after the Company’s acquisitions or before divestitures of various properties is not fully comparable to the periods prior to their respective purchase or after the sale dates.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for properties recently divested.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include the accounts of Caesars Entertainment, Inc. and its subsidiaries after elimination of all intercompany accounts and transactions.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Subsidiaries and Variable Interest Entities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spacing w:after="0" w:line="12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Level 2: Inputs other than quoted prices in active markets that are either directly or indirectly observable.</w:t>
      </w:r>
    </w:p>
    <w:p>
      <w:pPr>
        <w:spacing w:after="0" w:line="171"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Company’s own assumptions, as there is little, if any, related market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includes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w:t>
      </w:r>
    </w:p>
    <w:p>
      <w:pPr>
        <w:ind w:firstLine="8"/>
        <w:spacing w:after="0" w:line="260" w:lineRule="auto"/>
        <w:tabs>
          <w:tab w:leader="none" w:pos="2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represent the amounts the Company would expect to receive if the Company sold these marketable securities. As of both December 31, 2024 and 2023, the Company held $2 million in Level 1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derivative instruments to hedge the risk of fluctuations in interest rates, foreign exchange rates or pricing for other commodities. These agreements are designated as cash flow hedges. As of December 31, 2024 and 2023, the Company did not hold any cash flow hedges or any derivative financial instruments for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restricted cash. The Company has bank deposits that may at times exceed federally insured limits. Management believes all financial institutions holding its cash are of high credit quality and does not believe the Company is subject to unusual credit risk beyond the normal credit risk associated with commercial banking relationships.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costs are expensed in the period the advertising initially takes place. Advertising costs were $231 million, $259 million and $571 million for the years ended December 31, 2024, 2023 and 2022, respectively, and are included within operating expenses. During the year ended December 31, 2022, the Company launched significant television, radio and internet marketing campaigns promoting the Caesars Sportsbook. Advertising costs related to the Caesars Digital segment are primarily recorded in Casino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20" w:type="dxa"/>
            <w:vAlign w:val="bottom"/>
          </w:tcPr>
          <w:p>
            <w:pPr>
              <w:spacing w:after="0"/>
              <w:rPr>
                <w:sz w:val="18"/>
                <w:szCs w:val="18"/>
                <w:color w:val="auto"/>
              </w:rPr>
            </w:pPr>
          </w:p>
        </w:tc>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Pronouncements Implemented in 2024</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which requires public entities to disclose information about their reportable segments’ significant expenses on an interim and annual basis. This guidance is effective for years beginning after December 15, 2023, and interim periods within years beginning after December 15, 2024. Amendments in this update should be applied retrospectively to all prior periods presented in the financial statements. As of December 31, 2024, the Company has implemented the updated amendments included in ASU 2023-07.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for additional reportable segment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Pronouncements to Be Implemented in Future Periods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w:t>
      </w:r>
      <w:r>
        <w:rPr>
          <w:rFonts w:ascii="Times New Roman" w:cs="Times New Roman" w:eastAsia="Times New Roman" w:hAnsi="Times New Roman"/>
          <w:sz w:val="18"/>
          <w:szCs w:val="18"/>
          <w:color w:val="auto"/>
        </w:rPr>
        <w:t>,” which requires additional disclosure about specific expense categories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This information is generally not presented in the financial statements today. This update applies to all public business entities and will be effective for annual reporting periods beginning after December 15, 2026, and interim reporting periods beginning after December 15, 2027. Early adoption is permitted. We do not expect the amendments in this update to have a material impact on our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which requires disaggregated information about an entity’s effective tax rate reconciliation as well as information on income taxes paid. These updates apply to all entities subject to income taxes and will be effective for annual periods beginning after December 15, 2024. Early adoption is permitted. Updates will be applied on a prospective basis with the option to apply the standard retrospectively. We do not expect the amendments in this update to have a material impact on our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to clarify or improve disclosure and presentation requirements on a variety of topics and align the requirements in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codification with the Securities and Exchange Commission regulations. This guidance is effective for the Company no later than June 30, 2027. We do not expect the amendments in this update to have a material impact on our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3. Divestitures and Discontinued Operations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divests assets that it may not consider core to its business to raise capital or, in some cases, to comply with conditions, terms, obligations or restrictions imposed by antitrust, gaming and other regulatory entities. The carrying value of assets that meet the criteria for assets held for sale are compared to the expected selling price and any expected losses are recorded immediately. Gains or losses associated with the disposal of assets held for sale are recorded within operating income, unless the assets represent a discontinued operation.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LINQ Promenade, Rio and Baton Rouge Divestitures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29, 2024, the Company entered into an agreement to sell the LINQ Promenade to a joint venture between TPG Real Estate (“TPG”) and the Investment Management Platform of Acadia Realty Trust (“Acadia”) for $275 million. On December 12, 2024, we closed the sale for $275 million, resulting in a gain of $34 million, which was recorded in Transaction and other costs, net in the Statements of Operations. The LINQ Promenade was reported within the Las Vegas segment. Proceeds from the sale were used to make a voluntary prepayment of a portion of the outstanding balance of the CEI Term Loan B.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for further discussion on the voluntary prepayment.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2023, the Company’s lease term related to certain assets of Rio All-Suite Hotel &amp; Casino (“Rio”) ended and all operations were assumed by the lessor. Rio was reported within the Las Vegas segment.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5, 2022, the Company consummated the sale of the equity interests of Belle of Baton Rouge Casino &amp; Hotel (“Baton Rouge”) to CQ Holding Company, Inc., resulting in a loss of $3 million. Baton Rouge was reported in the Regional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their respective closing dates, none of the divestitures above met the requirements for presentation as discontinued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presents the net revenues and net income (loss) of recent divestitures: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w:t>
            </w: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31, 2024</w:t>
            </w:r>
          </w:p>
        </w:tc>
      </w:tr>
      <w:tr>
        <w:trPr>
          <w:trHeight w:val="157"/>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LINQ Promenade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5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LINQ Promenade</w:t>
            </w:r>
          </w:p>
        </w:tc>
        <w:tc>
          <w:tcPr>
            <w:tcW w:w="180" w:type="dxa"/>
            <w:vAlign w:val="bottom"/>
          </w:tcPr>
          <w:p>
            <w:pPr>
              <w:spacing w:after="0"/>
              <w:rPr>
                <w:sz w:val="13"/>
                <w:szCs w:val="13"/>
                <w:color w:val="auto"/>
              </w:rPr>
            </w:pPr>
          </w:p>
        </w:tc>
        <w:tc>
          <w:tcPr>
            <w:tcW w:w="158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w w:val="99"/>
              </w:rPr>
              <w:t>Rio</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48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center"/>
              <w:ind w:left="1319"/>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580" w:type="dxa"/>
            <w:vAlign w:val="bottom"/>
            <w:tcBorders>
              <w:bottom w:val="single" w:sz="8" w:color="auto"/>
            </w:tcBorders>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LINQ Promenade</w:t>
            </w:r>
          </w:p>
        </w:tc>
        <w:tc>
          <w:tcPr>
            <w:tcW w:w="180" w:type="dxa"/>
            <w:vAlign w:val="bottom"/>
          </w:tcPr>
          <w:p>
            <w:pPr>
              <w:spacing w:after="0"/>
              <w:rPr>
                <w:sz w:val="13"/>
                <w:szCs w:val="13"/>
                <w:color w:val="auto"/>
              </w:rPr>
            </w:pPr>
          </w:p>
        </w:tc>
        <w:tc>
          <w:tcPr>
            <w:tcW w:w="16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Rio</w:t>
            </w:r>
          </w:p>
        </w:tc>
        <w:tc>
          <w:tcPr>
            <w:tcW w:w="180" w:type="dxa"/>
            <w:vAlign w:val="bottom"/>
          </w:tcPr>
          <w:p>
            <w:pPr>
              <w:spacing w:after="0"/>
              <w:rPr>
                <w:sz w:val="13"/>
                <w:szCs w:val="13"/>
                <w:color w:val="auto"/>
              </w:rPr>
            </w:pPr>
          </w:p>
        </w:tc>
        <w:tc>
          <w:tcPr>
            <w:tcW w:w="158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Baton Rouge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WSOP Trademark Sale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August 1, 2024, the Company entered into a definitive agreement to sell the World Series of Poker (“WSOP”) trademark to NSUS Group Inc (“NSUS”) for $250 million in cash at closing and a $250 million note receivable for total consideration of $500 million. On October 29, 2024, the Company closed the sale to NSUS, resulting in a gain of $317 million, which was recorded in Transaction and other costs, net in the Statements of Operations. The note receivable bears interest at market rate plus an applicable margin, which resets quarterly. Interest and principal are due quarterly through its maturity date of October 29, 2029. Concurrent with signing the sale agreement, the Company entered into licensing agreements with NSUS that allows the Company to continue its current operations within the United States, including the WSOP’s live tournament series in Las Vegas for the next 20 years. The WSOP trademark asset was previously reported within the Caesars Digital segment.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further discussion on the trademarks associated with the sale.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22, 2021 when the William Hill acquisition was consummated, the Company’s intent was to divest William Hill International. Accordingly, the assets and liabilities were classified as held for sale with operations presented within discontinued operations. On April 7, 2022, the Company amended the agreement to sell William Hill International to 888 Holdings Plc for a revised enterprise value of approximately £2.0 billion. On July 1, 2022, the Company completed the sale of William Hill International to 888 Holdings Plc. During the year ended December 31, 2022, </w:t>
      </w:r>
      <w:r>
        <w:rPr>
          <w:rFonts w:ascii="Times New Roman" w:cs="Times New Roman" w:eastAsia="Times New Roman" w:hAnsi="Times New Roman"/>
          <w:sz w:val="18"/>
          <w:szCs w:val="18"/>
          <w:color w:val="212529"/>
        </w:rPr>
        <w:t>the Company recorded impairments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assets held for sale of </w:t>
      </w:r>
      <w:r>
        <w:rPr>
          <w:rFonts w:ascii="Times New Roman" w:cs="Times New Roman" w:eastAsia="Times New Roman" w:hAnsi="Times New Roman"/>
          <w:sz w:val="18"/>
          <w:szCs w:val="18"/>
          <w:color w:val="000000"/>
        </w:rPr>
        <w:t>$503 million</w:t>
      </w:r>
      <w:r>
        <w:rPr>
          <w:rFonts w:ascii="Times New Roman" w:cs="Times New Roman" w:eastAsia="Times New Roman" w:hAnsi="Times New Roman"/>
          <w:sz w:val="18"/>
          <w:szCs w:val="18"/>
          <w:color w:val="212529"/>
        </w:rPr>
        <w:t xml:space="preserve"> within discontinued operations based on the revised and final sales price.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CAESARS ENTERTAINMENT, INC.</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715"/>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information presents the net revenues and net loss for the Company’s discontinued operations:</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 Ended December</w:t>
            </w: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31, 2022</w:t>
            </w:r>
          </w:p>
        </w:tc>
      </w:t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William Hill</w:t>
            </w:r>
          </w:p>
        </w:tc>
      </w:tr>
      <w:tr>
        <w:trPr>
          <w:trHeight w:val="162"/>
        </w:trPr>
        <w:tc>
          <w:tcPr>
            <w:tcW w:w="20" w:type="dxa"/>
            <w:vAlign w:val="bottom"/>
          </w:tcPr>
          <w:p>
            <w:pPr>
              <w:spacing w:after="0"/>
              <w:rPr>
                <w:sz w:val="14"/>
                <w:szCs w:val="14"/>
                <w:color w:val="auto"/>
              </w:rPr>
            </w:pPr>
          </w:p>
        </w:tc>
        <w:tc>
          <w:tcPr>
            <w:tcW w:w="9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4"/>
                <w:szCs w:val="14"/>
                <w:color w:val="auto"/>
              </w:rPr>
            </w:pPr>
          </w:p>
        </w:tc>
        <w:tc>
          <w:tcPr>
            <w:tcW w:w="166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10"/>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4. Property and Equipment</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except for assets acquired in our business combinations which were adjusted for fair value under Accounting Standards Codification (“ASC”) 805. Internal use software costs are capitalized during the application development stage. Costs of major improvements are capitalized, while costs of normal repairs and maintenance are charged to expense as incurred. Depreciation is computed using the straight-line method over the estimated useful life of the asset as noted in the table below, or the term of the lease, whichever is less. Gains or losses on the disposal of property and equipment are included in operating income. Useful lives of each asset class are generally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5360" w:type="dxa"/>
            <w:vAlign w:val="bottom"/>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w w:val="99"/>
              </w:rPr>
              <w:t>3 to 40 years</w:t>
            </w: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53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w w:val="99"/>
              </w:rPr>
              <w:t>12 to 40 years</w:t>
            </w: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5360" w:type="dxa"/>
            <w:vAlign w:val="bottom"/>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w w:val="99"/>
              </w:rPr>
              <w:t>3 to 15 years</w:t>
            </w: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Riverboats</w:t>
            </w:r>
          </w:p>
        </w:tc>
        <w:tc>
          <w:tcPr>
            <w:tcW w:w="5360" w:type="dxa"/>
            <w:vAlign w:val="bottom"/>
          </w:tcPr>
          <w:p>
            <w:pPr>
              <w:jc w:val="center"/>
              <w:ind w:left="2819"/>
              <w:spacing w:after="0"/>
              <w:rPr>
                <w:sz w:val="20"/>
                <w:szCs w:val="20"/>
                <w:color w:val="auto"/>
              </w:rPr>
            </w:pPr>
            <w:r>
              <w:rPr>
                <w:rFonts w:ascii="Times New Roman" w:cs="Times New Roman" w:eastAsia="Times New Roman" w:hAnsi="Times New Roman"/>
                <w:sz w:val="16"/>
                <w:szCs w:val="16"/>
                <w:color w:val="auto"/>
              </w:rPr>
              <w:t>30 years</w:t>
            </w:r>
          </w:p>
        </w:tc>
      </w:tr>
    </w:tbl>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portion of our property and equipment is subject to various operating leases for which we are the lessor. Leased property includes our hotel rooms, convention space and retail space through various short-term and long-term operating leases.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for further discussion of our leases.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its property and equipment and other long-lived assets for impairment whenever indicators of impairment exist.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may be recorded for any difference between fair value and the carrying value. All recognized impairment losses are recorded as operating expenses, unless the assets represent a discontinued operation.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for further discussion of impairment on assets previously held for sale.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 Net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 riverboats, and leasehold and land improvements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18,802</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Expense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5. Goodwill and Intangible Assets, net</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To the extent the purchase price exceeds the fair value of the net identifiable tangible and intangible assets acquired and liabilities assumed, such excess is recorded as goodwill.</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must be reviewed for impairment at least annually and between annual test dates in certain circumstances. The Company performs its annual impairment tests as of October 1 of each fiscal year. The Company performs this assessment more frequently if impairment indicators exist. We utilized a combined income approach using a discounted cash flow method and a guideline public company method to determine the fair value of our goodwill. The Company performed the annual goodwill impairment test by comparing the fair value of each reporting unit with its carrying amount. The Company determines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and expected sales proceeds. The Company also evaluates the aggregate fair value of all of its reporting units and other non-operating assets in comparison to its aggregate debt and equity market capitalization at the test date. EBITDA multiples and discounted cash flows are common measures used to value businesses in the industry.</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consist primarily of trademarks, Caesars Rewards and expenditures associated with obtaining racing and gaming licenses. Indefinite-lived intangible assets are not subject to amortization but are subject to an annual impairment test. If the carrying amount of an indefinite-lived intangible asset exceeds its fair value, an impairment loss is recognized in an amount equal to that excess amount.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Gaming rights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 For gaming jurisdictions with high barriers of renewal of the gaming rights, such as material costs of renewal, the gaming rights are deemed to have a finite useful life and are amortized over the expected useful life. We used the Excess Earnings Method and a Cost Approach for estimating fair value for these gaming rights.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Finite-lived intangible assets consist of trade names, customer relationships, reacquired rights, and technology acquired in business combinations. Amortization is recorded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 Impairment charges are presented on the Statements of Operations.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finalized and approved capital and operating plans and the completion of impairment tests during the year ended December 31, 2024, the Company recognized impairment charges in our Regional and Las Vegas segments. Our Regional segment’s impairments were due to a decrease in projected future cash flows at certain regional properties primarily due to localized competition within certain markets. The Company identified six reporting units in the Regional segment with estimated fair values associated with trademarks, gaming rights and goodwill below their respective carrying values and recorded impairments. This resulted in trademark impairment of $15 million, gaming rights impairment of $73 million and goodwill impairment of $182 million within the segment. Impairment charges of $32 million to a trademark were also recorded due to the performance of our smallest brand in the Las Vegas segment.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impairment charges in our Regional segment. These impairments were primarily due to a decrease in projected future cash flows at certain regional properties due to increased competition. The Company identified one reporting unit with an estimated fair value of the associated gaming rights below the carrying value and recorded an impairment of $81 million. In addition, the Company identified one reporting unit with an estimated fair value below its carrying value and we recorded an impairment of $14 million to goodwill.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recognized impairment charges in our Regional segment related to goodwill and gaming rights totaling $78 million and $30 million, respectively, due to an increase in the related discount rates, which represents the higher required cost of capital as a result of the macroeconomic environment and projected outlook.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Carrying Value of Goodwill by Segment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2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Managed and</w:t>
            </w:r>
          </w:p>
        </w:tc>
        <w:tc>
          <w:tcPr>
            <w:tcW w:w="200" w:type="dxa"/>
            <w:vAlign w:val="bottom"/>
          </w:tcPr>
          <w:p>
            <w:pPr>
              <w:spacing w:after="0"/>
              <w:rPr>
                <w:sz w:val="16"/>
                <w:szCs w:val="16"/>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CEI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Impairment: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carrying value, as of December 31, 2023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i w:val="1"/>
                <w:iCs w:val="1"/>
                <w:color w:val="auto"/>
                <w:vertAlign w:val="superscript"/>
              </w:rPr>
              <w:t>(a)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Impairment: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spacing w:after="0" w:line="213" w:lineRule="exact"/>
              <w:rPr>
                <w:sz w:val="20"/>
                <w:szCs w:val="20"/>
                <w:color w:val="auto"/>
              </w:rPr>
            </w:pPr>
            <w:r>
              <w:rPr>
                <w:rFonts w:ascii="Times New Roman" w:cs="Times New Roman" w:eastAsia="Times New Roman" w:hAnsi="Times New Roman"/>
                <w:sz w:val="16"/>
                <w:szCs w:val="16"/>
                <w:color w:val="auto"/>
              </w:rPr>
              <w:t xml:space="preserve">Net carrying value, as of December 31, 2024 </w:t>
            </w:r>
            <w:r>
              <w:rPr>
                <w:rFonts w:ascii="Times New Roman" w:cs="Times New Roman" w:eastAsia="Times New Roman" w:hAnsi="Times New Roman"/>
                <w:sz w:val="21"/>
                <w:szCs w:val="21"/>
                <w:i w:val="1"/>
                <w:iCs w:val="1"/>
                <w:color w:val="auto"/>
                <w:vertAlign w:val="superscript"/>
              </w:rPr>
              <w:t>(b)</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Sale of the LINQ Promenade; see </w:t>
      </w:r>
      <w:r>
        <w:rPr>
          <w:rFonts w:ascii="Times New Roman" w:cs="Times New Roman" w:eastAsia="Times New Roman" w:hAnsi="Times New Roman"/>
          <w:sz w:val="14"/>
          <w:szCs w:val="14"/>
          <w:i w:val="1"/>
          <w:iCs w:val="1"/>
          <w:u w:val="single" w:color="auto"/>
          <w:color w:val="0000FF"/>
        </w:rPr>
        <w:t>Note 3</w:t>
      </w:r>
      <w:r>
        <w:rPr>
          <w:rFonts w:ascii="Times New Roman" w:cs="Times New Roman" w:eastAsia="Times New Roman" w:hAnsi="Times New Roman"/>
          <w:sz w:val="14"/>
          <w:szCs w:val="14"/>
          <w:i w:val="1"/>
          <w:iCs w:val="1"/>
          <w:color w:val="auto"/>
        </w:rPr>
        <w:t>.</w:t>
      </w:r>
    </w:p>
    <w:p>
      <w:pPr>
        <w:spacing w:after="0" w:line="43"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3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$1.0 billion of goodwill within the Regional segment and $462 million within the Las Vegas segment is associated with reporting units with zero or negative carrying value.</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Carrying Amount of Intangible Assets Other than Goodwill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Amortizing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Non-Amortizing</w:t>
            </w:r>
          </w:p>
        </w:tc>
        <w:tc>
          <w:tcPr>
            <w:tcW w:w="240" w:type="dxa"/>
            <w:vAlign w:val="bottom"/>
          </w:tcPr>
          <w:p>
            <w:pPr>
              <w:spacing w:after="0"/>
              <w:rPr>
                <w:sz w:val="18"/>
                <w:szCs w:val="18"/>
                <w:color w:val="auto"/>
              </w:rPr>
            </w:pPr>
          </w:p>
        </w:tc>
        <w:tc>
          <w:tcPr>
            <w:tcW w:w="11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w:t>
            </w:r>
          </w:p>
        </w:tc>
      </w:tr>
      <w:tr>
        <w:trPr>
          <w:trHeight w:val="213"/>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3"/>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 of developed technology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gaming rights and customer relationships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i w:val="1"/>
                <w:iCs w:val="1"/>
                <w:color w:val="auto"/>
                <w:vertAlign w:val="superscript"/>
              </w:rPr>
              <w:t>(a)</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Includes sale of the WSOP trademark, see </w:t>
      </w:r>
      <w:r>
        <w:rPr>
          <w:rFonts w:ascii="Times New Roman" w:cs="Times New Roman" w:eastAsia="Times New Roman" w:hAnsi="Times New Roman"/>
          <w:sz w:val="14"/>
          <w:szCs w:val="14"/>
          <w:i w:val="1"/>
          <w:iCs w:val="1"/>
          <w:u w:val="single" w:color="auto"/>
          <w:color w:val="0000FF"/>
        </w:rPr>
        <w:t>Note 3</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Gross Carrying Amount and Accumulated Amortization of Intangible Assets Other Than Goodwill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2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06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1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4"/>
                <w:szCs w:val="14"/>
                <w:color w:val="auto"/>
              </w:rPr>
            </w:pPr>
          </w:p>
        </w:tc>
        <w:tc>
          <w:tcPr>
            <w:tcW w:w="106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4"/>
                <w:szCs w:val="14"/>
                <w:color w:val="auto"/>
              </w:rPr>
            </w:pPr>
          </w:p>
        </w:tc>
        <w:tc>
          <w:tcPr>
            <w:tcW w:w="82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3 - 7 years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Gaming rights and other</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10 - 34 years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Trademarks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Reacquired rights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24 years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14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3 - 6 years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Non-amortizing intangible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Trademarks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Gaming rights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Caesars Rewards</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Total amortizing and non-amortizing intangible assets, net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with respect to intangible assets for the years ended December 31, 2024, 2023 and 2022 totaled $135 million, $144 million and $187 million, respectively, which is included in Depreciation and amortization in the Statements of Operations.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Estimated Five-Year Amortization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3"/>
                <w:szCs w:val="13"/>
                <w:color w:val="auto"/>
              </w:rPr>
            </w:pPr>
          </w:p>
        </w:tc>
        <w:tc>
          <w:tcPr>
            <w:tcW w:w="100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annual amortization expense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6. Accrued Other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other liabilities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6"/>
                <w:szCs w:val="16"/>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7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Contract and contract related liabilities (See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33"/>
        </w:trPr>
        <w:tc>
          <w:tcPr>
            <w:tcW w:w="20" w:type="dxa"/>
            <w:vAlign w:val="bottom"/>
            <w:tcBorders>
              <w:top w:val="single" w:sz="8" w:color="CCEEFF"/>
            </w:tcBorders>
          </w:tcPr>
          <w:p>
            <w:pPr>
              <w:spacing w:after="0"/>
              <w:rPr>
                <w:sz w:val="20"/>
                <w:szCs w:val="20"/>
                <w:color w:val="auto"/>
              </w:rPr>
            </w:pPr>
          </w:p>
        </w:tc>
        <w:tc>
          <w:tcPr>
            <w:tcW w:w="290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Accrued payroll and other related liabilities</w:t>
            </w:r>
          </w:p>
        </w:tc>
        <w:tc>
          <w:tcPr>
            <w:tcW w:w="520" w:type="dxa"/>
            <w:vAlign w:val="bottom"/>
            <w:tcBorders>
              <w:top w:val="single" w:sz="8" w:color="0000FF"/>
            </w:tcBorders>
            <w:gridSpan w:val="2"/>
          </w:tcPr>
          <w:p>
            <w:pPr>
              <w:spacing w:after="0"/>
              <w:rPr>
                <w:sz w:val="20"/>
                <w:szCs w:val="20"/>
                <w:color w:val="auto"/>
              </w:rPr>
            </w:pPr>
          </w:p>
        </w:tc>
        <w:tc>
          <w:tcPr>
            <w:tcW w:w="418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53"/>
        </w:trPr>
        <w:tc>
          <w:tcPr>
            <w:tcW w:w="20" w:type="dxa"/>
            <w:vAlign w:val="bottom"/>
            <w:shd w:val="clear" w:color="auto" w:fill="CCEEFF"/>
          </w:tcPr>
          <w:p>
            <w:pPr>
              <w:spacing w:after="0"/>
              <w:rPr>
                <w:sz w:val="21"/>
                <w:szCs w:val="21"/>
                <w:color w:val="auto"/>
              </w:rPr>
            </w:pPr>
          </w:p>
        </w:tc>
        <w:tc>
          <w:tcPr>
            <w:tcW w:w="7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20" w:type="dxa"/>
            <w:vAlign w:val="bottom"/>
          </w:tcPr>
          <w:p>
            <w:pPr>
              <w:spacing w:after="0"/>
              <w:rPr>
                <w:sz w:val="17"/>
                <w:szCs w:val="17"/>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 xml:space="preserve">Self-insurance claims and reserves (See </w:t>
            </w:r>
            <w:r>
              <w:rPr>
                <w:rFonts w:ascii="Times New Roman" w:cs="Times New Roman" w:eastAsia="Times New Roman" w:hAnsi="Times New Roman"/>
                <w:sz w:val="16"/>
                <w:szCs w:val="16"/>
                <w:color w:val="0000FF"/>
              </w:rPr>
              <w:t>Note 8</w:t>
            </w: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Operating lease liability (See </w:t>
            </w:r>
            <w:r>
              <w:rPr>
                <w:rFonts w:ascii="Times New Roman" w:cs="Times New Roman" w:eastAsia="Times New Roman" w:hAnsi="Times New Roman"/>
                <w:sz w:val="16"/>
                <w:szCs w:val="16"/>
                <w:color w:val="0000FF"/>
              </w:rPr>
              <w:t>Note 7</w:t>
            </w: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3"/>
        </w:trPr>
        <w:tc>
          <w:tcPr>
            <w:tcW w:w="2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420" w:type="dxa"/>
            <w:vAlign w:val="bottom"/>
            <w:tcBorders>
              <w:top w:val="single" w:sz="8" w:color="0000FF"/>
            </w:tcBorders>
          </w:tcPr>
          <w:p>
            <w:pPr>
              <w:spacing w:after="0"/>
              <w:rPr>
                <w:sz w:val="20"/>
                <w:szCs w:val="20"/>
                <w:color w:val="auto"/>
              </w:rPr>
            </w:pPr>
          </w:p>
        </w:tc>
        <w:tc>
          <w:tcPr>
            <w:tcW w:w="5240" w:type="dxa"/>
            <w:vAlign w:val="bottom"/>
            <w:tcBorders>
              <w:top w:val="single" w:sz="8" w:color="CCEEFF"/>
            </w:tcBorders>
            <w:gridSpan w:val="5"/>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20" w:type="dxa"/>
            <w:vAlign w:val="bottom"/>
            <w:shd w:val="clear" w:color="auto" w:fill="CCEEFF"/>
          </w:tcPr>
          <w:p>
            <w:pPr>
              <w:spacing w:after="0"/>
              <w:rPr>
                <w:sz w:val="21"/>
                <w:szCs w:val="21"/>
                <w:color w:val="auto"/>
              </w:rPr>
            </w:pPr>
          </w:p>
        </w:tc>
        <w:tc>
          <w:tcPr>
            <w:tcW w:w="7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Disputed claims liability</w:t>
            </w: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20" w:type="dxa"/>
            <w:vAlign w:val="bottom"/>
            <w:tcBorders>
              <w:bottom w:val="single" w:sz="8" w:color="CCEEFF"/>
            </w:tcBorders>
          </w:tcPr>
          <w:p>
            <w:pPr>
              <w:spacing w:after="0"/>
              <w:rPr>
                <w:sz w:val="20"/>
                <w:szCs w:val="20"/>
                <w:color w:val="auto"/>
              </w:rPr>
            </w:pPr>
          </w:p>
        </w:tc>
        <w:tc>
          <w:tcPr>
            <w:tcW w:w="760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6"/>
                <w:szCs w:val="16"/>
                <w:color w:val="auto"/>
              </w:rPr>
              <w:t>Other accruals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8"/>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accrued other liabilities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Disputed Claims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disputed claims liability represented certain unsecured claims related to Caesars Entertainment Corporation’s bankruptcy assumed from the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7. Leases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73 years. The Company’s lease agreements do not contain any material restrictive covenants, other than those described below.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Leases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real estate and equipment used in operations from third parties. As of December 31, 2024, the remaining term of the Company’s operating leases ranged from 1 to 67 years with various extension options available, if the Company elects to exercise them. However, the Company’s remaining terms only include extension options that we have determined are reasonably certain as of December 31, 2024. In addition to minimum rental commitments, certain of the Company’s operating leases provide for contingent rentals based on a percentage of revenues in excess of specified amounts. The Company does not include costs associated with non-lease components in the lease costs disclosed in the table below. During the years ended December 31, 2024 and 2023, the Company obtained $10 million and $41 million, respectively, of right-of-use (“ROU”) assets in exchange for new lease liabilities. During the years ended December 31, 2024 and 2023, the Company disposed of $1 million and $7 million, respectively, of ROU assets and lease liabilities.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the short-term lease measurement and recognition exemption and does not establish ROU assets or liabilities for operating leases with terms of 12 months or less.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recorded on the balance sheet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8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780" w:type="dxa"/>
            <w:vAlign w:val="bottom"/>
            <w:gridSpan w:val="2"/>
          </w:tcPr>
          <w:p>
            <w:pPr>
              <w:ind w:left="640"/>
              <w:spacing w:after="0" w:line="142" w:lineRule="exact"/>
              <w:rPr>
                <w:sz w:val="20"/>
                <w:szCs w:val="20"/>
                <w:color w:val="auto"/>
              </w:rPr>
            </w:pPr>
            <w:r>
              <w:rPr>
                <w:rFonts w:ascii="Times New Roman" w:cs="Times New Roman" w:eastAsia="Times New Roman" w:hAnsi="Times New Roman"/>
                <w:sz w:val="16"/>
                <w:szCs w:val="16"/>
                <w:b w:val="1"/>
                <w:bCs w:val="1"/>
                <w:color w:val="auto"/>
              </w:rPr>
              <w:t>Classification on the Balance Sheet</w:t>
            </w:r>
          </w:p>
        </w:tc>
        <w:tc>
          <w:tcPr>
            <w:tcW w:w="420" w:type="dxa"/>
            <w:vAlign w:val="bottom"/>
          </w:tcPr>
          <w:p>
            <w:pPr>
              <w:spacing w:after="0"/>
              <w:rPr>
                <w:sz w:val="14"/>
                <w:szCs w:val="14"/>
                <w:color w:val="auto"/>
              </w:rPr>
            </w:pPr>
          </w:p>
        </w:tc>
        <w:tc>
          <w:tcPr>
            <w:tcW w:w="134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other liabilities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Lease Terms and Discount Rate</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Components of Lease Expense</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6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left="639"/>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color w:val="auto"/>
              </w:rPr>
              <w:t>Short-term and variable lease expense</w:t>
            </w: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lease costs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780" w:type="dxa"/>
            <w:vAlign w:val="bottom"/>
            <w:gridSpan w:val="8"/>
            <w:vMerge w:val="continue"/>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76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Cash payments included in the measurement of lease liabilities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left="639"/>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124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Maturities of Lease Liabilities</w:t>
            </w:r>
          </w:p>
        </w:tc>
        <w:tc>
          <w:tcPr>
            <w:tcW w:w="3580" w:type="dxa"/>
            <w:vAlign w:val="bottom"/>
            <w:gridSpan w:val="4"/>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1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4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gridSpan w:val="6"/>
          </w:tcPr>
          <w:p>
            <w:pPr>
              <w:ind w:left="200"/>
              <w:spacing w:after="0"/>
              <w:rPr>
                <w:sz w:val="20"/>
                <w:szCs w:val="20"/>
                <w:color w:val="auto"/>
              </w:rPr>
            </w:pPr>
            <w:r>
              <w:rPr>
                <w:rFonts w:ascii="Times New Roman" w:cs="Times New Roman" w:eastAsia="Times New Roman" w:hAnsi="Times New Roman"/>
                <w:sz w:val="16"/>
                <w:szCs w:val="16"/>
                <w:color w:val="auto"/>
              </w:rPr>
              <w:t>Less: present value factor</w:t>
            </w:r>
          </w:p>
        </w:tc>
        <w:tc>
          <w:tcPr>
            <w:tcW w:w="1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lease liability</w:t>
            </w:r>
          </w:p>
        </w:tc>
        <w:tc>
          <w:tcPr>
            <w:tcW w:w="1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Leases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finance leases for certain equipment and real estate. As of December 31, 2024, the Company’s finance leases had remaining lease terms of up to approximately 34 years, some of which include options to extend the lease terms in one month increments. The Company’s finance lease ROU assets and liabilities were $60 million and $68 million as of December 31, 2024, respectively, and $69 million and $77 million as of December 31, 2023,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Leases &amp; Golf Course Use Agreement</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real estate assets and the related failed sale-leaseback financing obligations were estimated based on the present value of the estimated future lease payments over the lease term of 15 years, plus renewal options, using an imputed discount rate of approximately 11.01%.</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CEI leases certain real property assets from VICI under the following agreements: (i) for a portfolio of properties located throughout the United States (the “Regional Lease”), (ii) for Caesars Palace Las Vegas and Harrah’s Las Vegas (the “Las Vegas Lease”), and (iii) for Harrah’s Joliet (the “Joliet Lease”), (collectively, “VICI Leases”). The lease agreements, inclusive of all amendments, include (i) a 15-year initial term with four five-year renewal options, (ii) initial annual fixed rent payments of $1.1 billion, subject to annual escalation provisions based on the Consumer Price Index (“CPI”) and a 2% floor which commenced in lease year two of the initial terms and (iii) a variable element based on net revenues of the underlying leased properties, commencing in lease year eight of the initial term.</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Put-Call Right Agreement whereby the Company could have required VICI to purchase and lease back (as lessor) or whereby VICI could have required the Company to sell to VICI and lease back (as lessee) the real estate components of the gaming and racetrack facilities of Harrah’s Hoosier Park Racing &amp; Casino and Horseshoe Indianapolis (the “Centaur properties”) was not exercised by either party prior to the December 31, 2024 expiration.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Golf Course Use Agreement between the Company and VICI has a 35-year term (inclusive of all renewal periods), whereby the Company agrees to pay initial annual membership and use fees totaling $14 million, subject to annual escalation provisions similar to those described above in the Regional Lease, as well as certain per-round fees set forth in the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GLPI Leases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real estate assets and the related failed sale-leaseback financing obligations were estimated based on the present value of the estimated future lease payments over the lease term of 20 years, plus renewal options, using an imputed discount rate of approximately 9.75%.</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CEI leases certain real property assets from GLPI under the Master Lease (as amended, the “GLPI Master Lease”). The GLPI Master Lease, encompassing a portfolio of properties within the United States, provides for the lease of land, buildings, structures and other improvements on the land, easements and similar appurtenances to the land and improvements relating to the operation of the leased properties. The GLPI Master Lease, inclusive of all amendments, provides for (i) an initial term of 20 years (through September 2038), (ii) four five-year renewals at the Company’s option, (iii) annual land and building base rent of $24 million and $63 million, respectively, (iv) escalating provisions of building base rent equal to 101.25% of the rent for the preceding year for lease years five and six, 101.75% for lease years seven and eight and 102% for each lease year thereafter and (v) relief from the operating, capital expenditure and financial covenants in the event of involuntary closures.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also leases the real estate underlying Horseshoe St. Louis from GLPI, (the “Lumière Lease”).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and (v) certain relief under the financial covenant in the event of involuntary closures.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reflect the real estate assets related to the failed sale-lease back transactions on the Balance Sheets in Property and equipment, net as if the Company was the legal owner, and continues to recognize depreciation expense over their estimated useful lives.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payments related to the GLPI Leases, including the Lumière Lease, and VICI Leases financing obligations, as amended,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GLPI Leases</w:t>
            </w:r>
          </w:p>
        </w:tc>
        <w:tc>
          <w:tcPr>
            <w:tcW w:w="260" w:type="dxa"/>
            <w:vAlign w:val="bottom"/>
          </w:tcPr>
          <w:p>
            <w:pPr>
              <w:spacing w:after="0"/>
              <w:rPr>
                <w:sz w:val="17"/>
                <w:szCs w:val="17"/>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VICI Leases</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1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r>
      <w:tr>
        <w:trPr>
          <w:trHeight w:val="21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1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r>
      <w:tr>
        <w:trPr>
          <w:trHeight w:val="21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42,406</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payments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(38,058)</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Plus: Residual values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2"/>
        </w:trPr>
        <w:tc>
          <w:tcPr>
            <w:tcW w:w="20" w:type="dxa"/>
            <w:vAlign w:val="bottom"/>
          </w:tcPr>
          <w:p>
            <w:pPr>
              <w:spacing w:after="0"/>
              <w:rPr>
                <w:sz w:val="18"/>
                <w:szCs w:val="18"/>
                <w:color w:val="auto"/>
              </w:rPr>
            </w:pPr>
          </w:p>
        </w:tc>
        <w:tc>
          <w:tcPr>
            <w:tcW w:w="76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Financing obligation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payments made relating to the Company’s long-term financing obligations during the years ended December 31, 2024, 2023 and 2022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 xml:space="preserve">GLPI Leases </w:t>
            </w:r>
            <w:r>
              <w:rPr>
                <w:rFonts w:ascii="Times New Roman" w:cs="Times New Roman" w:eastAsia="Times New Roman" w:hAnsi="Times New Roman"/>
                <w:sz w:val="21"/>
                <w:szCs w:val="21"/>
                <w:b w:val="1"/>
                <w:bCs w:val="1"/>
                <w:i w:val="1"/>
                <w:iCs w:val="1"/>
                <w:color w:val="auto"/>
                <w:w w:val="95"/>
                <w:vertAlign w:val="superscript"/>
              </w:rPr>
              <w:t>(a)</w:t>
            </w: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 xml:space="preserve">VICI Leases </w:t>
            </w:r>
            <w:r>
              <w:rPr>
                <w:rFonts w:ascii="Times New Roman" w:cs="Times New Roman" w:eastAsia="Times New Roman" w:hAnsi="Times New Roman"/>
                <w:sz w:val="21"/>
                <w:szCs w:val="21"/>
                <w:b w:val="1"/>
                <w:bCs w:val="1"/>
                <w:i w:val="1"/>
                <w:iCs w:val="1"/>
                <w:color w:val="auto"/>
                <w:w w:val="96"/>
                <w:vertAlign w:val="superscript"/>
              </w:rPr>
              <w:t>(a)</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90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principal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305" w:lineRule="auto"/>
        <w:tabs>
          <w:tab w:leader="none" w:pos="327" w:val="left"/>
        </w:tabs>
        <w:numPr>
          <w:ilvl w:val="0"/>
          <w:numId w:val="3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the initial periods of the VICI and GLPI Leases, cash payments are less than the interest expense recognized, which causes the failed-sale leaseback obligation to increase during the initial years of the lease term.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Covenants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GLPI Leases and VICI Leases contain certain covenants requiring minimum capital expenditures based on a percentage of net revenues along with maintaining certain financial ratios. The GLPI Leases require the Company to maintain a minimum adjusted revenue to rent ratio of 1.20:1.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Arrangements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years ended December 31, 2024, 2023 and 2022, we recognized $2.0 billion, $2.1 billion and $2.0 billion, respectively, in lease revenue related to lodging arrangements, which is included in Hotel revenues in the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Conventions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primarily included in Food and beverage revenue in the Statement of Operations, and during the years ended December 31, 2024, 2023 and 2022, lease revenue related to conventions was $51 million, $40 million and $34 million, respectively.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 Estate Operating Leases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long-term real estate leasing arrangements with third party lessees at our properties. As of December 31, 2024, the remaining terms of these operating leases ranged from 1 to 81 years, some of which include options to extend the lease term for up to five years. In addition to minimum rental commitments, certain of our operating leases provide for contingent payments including contingent rentals based on a percentage of revenues in excess of specified amounts and reimbursements for common area maintenance and utilities charges.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In addition, to maintain the value of our leased assets, certain leases include specific maintenance requirements of the lessees or maintenance is performed by the Company on behalf of the lessees. During the years ended December 31, 2024, 2023 and 2022, we recognized $148 million, $166 million and $168 million, respectively, of real estate lease revenue, which is included in Other revenue in the Statement of Operations. Real estate lease revenue includes $62 million, $68 million and $64 million of variable rental income for the years ended December 31, 2024, 2023 and 2022, respectively.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Maturities of Lease Receivables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7"/>
                <w:szCs w:val="17"/>
                <w:color w:val="auto"/>
              </w:rPr>
            </w:pPr>
          </w:p>
        </w:tc>
        <w:tc>
          <w:tcPr>
            <w:tcW w:w="15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8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8. Litigation, Commitments and Contingencies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various legal proceedings, which have arisen in the normal course of our business. Such proceedings can be costly, time consuming,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Cybersecurity Incident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14, 2023, we announced that an unauthorized actor had gained access to our information technology network as a result of a social engineering attack on an outsourced IT support vendor used by the Company, and acquired a copy of, among other data, our loyalty program database, which includes driver’s license numbers and/or social security numbers for a significant number of members in the database (“Data Incident”).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Data Incident, numerous putative class action lawsuits have been filed against us purporting to represent various classes of persons whose personal information was affected by the Data Incident. These putative class actions assert a variety of common law and statutory claims based on allegations that we failed to use reasonable security procedures and practices to safeguard customers’ personal information, and seek monetary and statutory damages, injunctive relief and other related relief. In addition to those putative class action lawsuits, individual claims have been filed or threatened against us as well.</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received inquiries from numerous state regulators related to the Data Incident. We have responded or are in the process of responding to these inquiries and are cooperating fully with regulators.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intend to vigorously defend ourselves in the above-described proceedings, we believe it is reasonably possible that we may incur losses associated therewith. It is not possible at this time to estimate the amount of loss or range of loss, if any, that might result from adverse judgments, settlements, or other resolution given the stage of these proceedings, the absence of specific allegations regarding the alleged damages, the uncertainty as to the certification of a class or classes and the size of any certified class, if applicable, and/or the lack of resolution of significant factual and legal issues. Moreover, additional lawsuits and claims related to the Data Incident may be asserted and governmental agencies may open additional inquiries or investigations into the Data Incident. We have received, and continue to pursue, reimbursements from insurance carriers for costs incurred as a result of the Data Incident.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and may continue to incur, certain expenses related to the Data Incident, including expenses to respond to, remediate and investigate this matter. The full scope of the costs and related impacts of this incident, including the extent to which these costs will be offset by our cybersecurity insurance or potential indemnification claims against third parties, has not been determined. We are unable to predict the full impact of this incident and its impact on guest behavior in the future, including whether a change in our guests’ behavior could negatively impact our financial condition and results of operations on an ongoing basis. Based on our assessment, the incident has not had a material impact, and we do not believe the incident has materially affected or will materially affect us, including our operations, business strategy, results of operations, or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Caesars New Orleans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In connection with these amendments, the Company was required to make a capital investment of at least $325 million on, or around our property, which the Company completed in October 2024 with the transformation of Harrah’s to Caesars New Orleans.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Sponsorship/Partnership Obligations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December 31,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obligations related to these agreements were $421 million and $605 million, respectively, with contracts extending through 2040. These obligations are composed of various third-party agreements which have been entered into by the Company for certain of our Las Vegas and Regional properties, or our Caesars Digital segment. The agreements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Self-Insurance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self-insured for workers compensation and other risk insurance, as well as health insurance and general liability. The Company’s total estimated self-insurance liability was $204 million and $200 million as of December 31, 2024 and 2023, respectively, which is included in Accrued other liabilities in our Balance Sheets.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Weather Disruption - Lake Charles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August 27, 2020</w:t>
      </w:r>
      <w:r>
        <w:rPr>
          <w:rFonts w:ascii="Times New Roman" w:cs="Times New Roman" w:eastAsia="Times New Roman" w:hAnsi="Times New Roman"/>
          <w:sz w:val="18"/>
          <w:szCs w:val="18"/>
          <w:color w:val="212529"/>
        </w:rPr>
        <w:t>, Hurricane Laura made landfall on Lake Charles as a Category 4 storm severely damaging the Isle of Capri Casino Lake Charles (“Lake Charles”). During the year ended December 31, 2022, the Company reached a final settlement agreement with the insurance carriers for a total amount of $128 million, before our insurance deductible of $25 million. The Company has received a total of $103 million related to damaged fixed assets, remediation costs and business interruption.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Company recorded a gain of $38 million during the year ended December 31, 2022, which is included in Transaction and other costs, net in our Statements of Operations, as the proceeds received for the cost to replace damaged property is in excess of the respective carrying value of the assets. The construction of our new land-based casino, Horseshoe Lake Charles, was completed and reopened in December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9. Long-Term Debt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Final</w:t>
            </w: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Rates</w:t>
            </w:r>
          </w:p>
        </w:tc>
        <w:tc>
          <w:tcPr>
            <w:tcW w:w="3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Debt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Revolving Credit Facility</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A</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CVA Revolving Credit Facility</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CVA Delayed Draw Term Loan</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Term Loan B</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B-1</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2030</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2032</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2025</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CRC Senior Secured Notes</w:t>
            </w:r>
          </w:p>
        </w:tc>
        <w:tc>
          <w:tcPr>
            <w:tcW w:w="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Unsecured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Notes due 2027</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CEI Senior Notes due 2029</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Notes due 2032</w:t>
            </w: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Special Improvement District Bonds</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notes and other payables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Total debt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800" w:type="dxa"/>
            <w:vAlign w:val="bottom"/>
            <w:gridSpan w:val="7"/>
          </w:tcPr>
          <w:p>
            <w:pPr>
              <w:ind w:left="320"/>
              <w:spacing w:after="0"/>
              <w:rPr>
                <w:sz w:val="20"/>
                <w:szCs w:val="20"/>
                <w:color w:val="auto"/>
              </w:rPr>
            </w:pPr>
            <w:r>
              <w:rPr>
                <w:rFonts w:ascii="Times New Roman" w:cs="Times New Roman" w:eastAsia="Times New Roman" w:hAnsi="Times New Roman"/>
                <w:sz w:val="16"/>
                <w:szCs w:val="16"/>
                <w:color w:val="auto"/>
              </w:rPr>
              <w:t>Deferred finance charges associated with the CEI Revolving Credit Facility</w:t>
            </w:r>
          </w:p>
        </w:tc>
        <w:tc>
          <w:tcPr>
            <w:tcW w:w="3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70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Unamortized discounts and deferred finance charges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Fair value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Annual Estimated Debt Service Requirements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3"/>
                <w:szCs w:val="13"/>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3"/>
                <w:szCs w:val="13"/>
                <w:color w:val="auto"/>
              </w:rPr>
            </w:pPr>
          </w:p>
        </w:tc>
        <w:tc>
          <w:tcPr>
            <w:tcW w:w="820" w:type="dxa"/>
            <w:vAlign w:val="bottom"/>
          </w:tcPr>
          <w:p>
            <w:pPr>
              <w:jc w:val="right"/>
              <w:ind w:right="259"/>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maturities of long-term debt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w:t>
            </w:r>
          </w:p>
        </w:tc>
      </w:tr>
      <w:tr>
        <w:trPr>
          <w:trHeight w:val="213"/>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Estimated interest payments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Times New Roman" w:cs="Times New Roman" w:eastAsia="Times New Roman" w:hAnsi="Times New Roman"/>
                <w:sz w:val="16"/>
                <w:szCs w:val="16"/>
                <w:color w:val="auto"/>
              </w:rPr>
              <w:t xml:space="preserve">Total debt service obligation </w:t>
            </w:r>
            <w:r>
              <w:rPr>
                <w:rFonts w:ascii="Times New Roman" w:cs="Times New Roman" w:eastAsia="Times New Roman" w:hAnsi="Times New Roman"/>
                <w:sz w:val="21"/>
                <w:szCs w:val="21"/>
                <w:i w:val="1"/>
                <w:iCs w:val="1"/>
                <w:color w:val="auto"/>
                <w:vertAlign w:val="superscript"/>
              </w:rPr>
              <w:t>(a)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3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Debt principal payments are estimated amounts based on contractual maturity and scheduled repayment dates. Interest payments are estimated based on the forward-looking SOFR curve, where applicable. Actual payments may differ from these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Portion of Long-Term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long-term debt as of December 31, 2024 includes the principal payments on the term loans, special improvement district bonds, and other unsecured borrowings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 or Premiums and Deferred Finance Charges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amortization of the debt issuance costs and the discount and/or premium associated with the Company’s indebtedness totaled $30 million, $48 million and $139 million for the years ended December 31, 2024, 2023 and 2022, respectively, and is included in interest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debt has been calculated primarily based on the borrowing rates available as of December 31, 2024 and based on market quotes of our publicly traded debt. We classify the fair value of debt within Level 1 and Level 2 in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Outstanding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Term Loans and CEI Revolving Credit Facility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subject to a springing maturity in the event certain other long-term debt of Caesars is not extended or repaid. The CEI Revolving Credit Facility includes a letter of credit sub-facility of $388 million and contains reserves of $40 million which are available only for certain permitted uses.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subject to a springing maturity in the event certain other long-term debt of Caesars is not extended or repaid. The CEI Term Loan A requires scheduled quarterly payments in amounts equal to 1.25% of the original aggregate principal amount of the CEI Term Loan A, with the balance payable at maturity.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Borrowings under the CEI Revolving Credit Facility and the CEI Term Loan A bear interest, paid at least quarterly, at a rate equal to, at the Company’s option, either (a) 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6, 2023, the Company entered into an Incremental Assumption Agreement No. 2 pursuant to which the Company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in May 2024 and November 2024,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 was issued at a price of 99.0% of the principal amount and will mature on February 6, 2030. On June 28, 2024, the Company made a voluntary repayment of $100 million in aggregate principal amount of the CEI Term Loan B with cash on hand. Following the closing of the sale of the LINQ Promenade in December 2024, the Company utilized the proceeds from the sale, as well as cash on hand to make voluntary prepayments totaling $300 million of the outstanding principal of the CEI Term Loan B and recognized a $5 million loss on the early extinguishment of debt during the year ended December 31, 2024.</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B-1 was issued at a price of 99.75% of the principal amount and will mature on February 6, 2031.</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proceeds from the issuance of the CEI Senior Secured Notes due 2032 (defined below) and the net proceeds from the CEI Term Loan B-1,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 Senior Secured Notes due 2025 (the “CEI Senior Secured Notes due 2025”). As a result of these transactions, the Company recognized $48 million of loss on early extinguishment of debt during the year ended December 31, 2024.</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utilized and fully repaid the CEI Revolving Credit Facility. Such activity is presented in the financing section in the Statements of Cash Flows. As of December 31, 2024, the Company had $2.1 billion of available borrowing capacity under the CEI Revolving Credit Facility, after consideration of $84 million in outstanding letters of credit, $46 million committed for regulatory purposes and the reserves described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Virginia Senior Revolving and Delayed Draw Term Loan Credit Facility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in an aggregate principal amount of $400 million (the “CVA Delayed Draw Term Loan”) and a senior secured first lien revolving credit facility in an aggregate principal amount of $25 million (the “CVA Revolving Credit Facility”), both maturing on April 26, 2029.</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The CVA Delayed Draw Term Loan requires quarterly principal payments commencing on March 31, 2025. </w:t>
      </w:r>
      <w:r>
        <w:rPr>
          <w:rFonts w:ascii="Times New Roman" w:cs="Times New Roman" w:eastAsia="Times New Roman" w:hAnsi="Times New Roman"/>
          <w:sz w:val="18"/>
          <w:szCs w:val="18"/>
          <w:color w:val="000000"/>
        </w:rPr>
        <w:t>The CVA Revolving Credit Facility and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CVA Delayed Draw Term Loan are subject to a variable rate of interest based on </w:t>
      </w:r>
      <w:r>
        <w:rPr>
          <w:rFonts w:ascii="Times New Roman" w:cs="Times New Roman" w:eastAsia="Times New Roman" w:hAnsi="Times New Roman"/>
          <w:sz w:val="18"/>
          <w:szCs w:val="18"/>
          <w:color w:val="212529"/>
        </w:rPr>
        <w:t>Term SOFR plus an applicable margin.</w:t>
      </w:r>
      <w:r>
        <w:rPr>
          <w:rFonts w:ascii="Times New Roman" w:cs="Times New Roman" w:eastAsia="Times New Roman" w:hAnsi="Times New Roman"/>
          <w:sz w:val="18"/>
          <w:szCs w:val="18"/>
          <w:color w:val="000000"/>
        </w:rPr>
        <w:t xml:space="preserve"> The CVA Revolving Credit Facility includes a $10 million letter of credit sub-facility. As of December 31, 2024, there was $295 million utilized under the </w:t>
      </w:r>
      <w:r>
        <w:rPr>
          <w:rFonts w:ascii="Times New Roman" w:cs="Times New Roman" w:eastAsia="Times New Roman" w:hAnsi="Times New Roman"/>
          <w:sz w:val="18"/>
          <w:szCs w:val="18"/>
          <w:color w:val="212529"/>
        </w:rPr>
        <w:t>CVA Delayed Draw 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Loan </w:t>
      </w:r>
      <w:r>
        <w:rPr>
          <w:rFonts w:ascii="Times New Roman" w:cs="Times New Roman" w:eastAsia="Times New Roman" w:hAnsi="Times New Roman"/>
          <w:sz w:val="18"/>
          <w:szCs w:val="18"/>
          <w:color w:val="000000"/>
        </w:rPr>
        <w:t>and $25 million of available borrowing capacity under the CVA Revolving Credit Facility.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2030</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2025</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6, 2020, Colt Merger Sub, Inc. (the “Escrow Issuer”) issued $3.4 billion in aggregate principal amount of the CEI Senior Secured Notes due 2025 at 6.25%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scheduled to mature on July 1, 2025, with interest payable semi-annually on January 1 and July 1 of each year. </w:t>
      </w:r>
      <w:r>
        <w:rPr>
          <w:rFonts w:ascii="Times New Roman" w:cs="Times New Roman" w:eastAsia="Times New Roman" w:hAnsi="Times New Roman"/>
          <w:sz w:val="18"/>
          <w:szCs w:val="18"/>
          <w:color w:val="212529"/>
        </w:rPr>
        <w:t>On February 6, 2024, the Company fully tendered, redeemed, repurchased, defeased, and/or satisfied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discharged any and all of the principal amounts, including accrued and unpaid interest, related expenses and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CRC Senior Secured Notes due 2025</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6, 2020, the Escrow Issuer issued $1.0 billion in aggregate principal amount of the CRC Senior Secured Notes due 2025 at 5.75%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CRC, CRC Finco, Inc. and the subsidiary guarantors. The CRC Senior Secured Notes were scheduled to mature on July 1, 2025, with interest payable semi-annually on January 1 and July 1 of each year. On February 16, 2024, the Company fully tendered, redeemed</w:t>
      </w:r>
      <w:r>
        <w:rPr>
          <w:rFonts w:ascii="Times New Roman" w:cs="Times New Roman" w:eastAsia="Times New Roman" w:hAnsi="Times New Roman"/>
          <w:sz w:val="18"/>
          <w:szCs w:val="18"/>
          <w:color w:val="212529"/>
        </w:rPr>
        <w:t>, repurchased, defeased, and/or satisfied and discharged any and all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principal amounts, including accrued and unpaid interest, related expenses and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2027</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6, 2020, the Escrow Issuer issued $1.8 billion in aggregate principal amount of 8.125% Senior Notes due </w:t>
      </w:r>
      <w:r>
        <w:rPr>
          <w:rFonts w:ascii="Times New Roman" w:cs="Times New Roman" w:eastAsia="Times New Roman" w:hAnsi="Times New Roman"/>
          <w:sz w:val="16"/>
          <w:szCs w:val="16"/>
          <w:color w:val="auto"/>
        </w:rPr>
        <w:t>2027</w:t>
      </w:r>
      <w:r>
        <w:rPr>
          <w:rFonts w:ascii="Times New Roman" w:cs="Times New Roman" w:eastAsia="Times New Roman" w:hAnsi="Times New Roman"/>
          <w:sz w:val="18"/>
          <w:szCs w:val="18"/>
          <w:color w:val="auto"/>
        </w:rPr>
        <w:t xml:space="preserve">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CEI Senior Notes due 2032 (defined below) were used to redeem approximately $1.1 billion of the principal amount, including accrued and unpaid interest, related expenses and fees of the CEI Senior Notes due 2027. As a result of the early repayment, the Company recognized $31 million of loss on extinguishment of debt during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the Company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 commencing April 15, 2025.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Summary of Debt and Revolving Credit Facility Cash Flows from Financing Activities in 2024</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60" w:type="dxa"/>
            <w:vAlign w:val="bottom"/>
          </w:tcPr>
          <w:p>
            <w:pPr>
              <w:spacing w:after="0"/>
              <w:rPr>
                <w:sz w:val="15"/>
                <w:szCs w:val="15"/>
                <w:color w:val="auto"/>
              </w:rPr>
            </w:pPr>
          </w:p>
        </w:tc>
        <w:tc>
          <w:tcPr>
            <w:tcW w:w="188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Proceeds</w:t>
            </w:r>
          </w:p>
        </w:tc>
        <w:tc>
          <w:tcPr>
            <w:tcW w:w="360" w:type="dxa"/>
            <w:vAlign w:val="bottom"/>
          </w:tcPr>
          <w:p>
            <w:pPr>
              <w:spacing w:after="0"/>
              <w:rPr>
                <w:sz w:val="15"/>
                <w:szCs w:val="15"/>
                <w:color w:val="auto"/>
              </w:rPr>
            </w:pPr>
          </w:p>
        </w:tc>
        <w:tc>
          <w:tcPr>
            <w:tcW w:w="1900" w:type="dxa"/>
            <w:vAlign w:val="bottom"/>
          </w:tcPr>
          <w:p>
            <w:pPr>
              <w:jc w:val="right"/>
              <w:ind w:right="540"/>
              <w:spacing w:after="0" w:line="163" w:lineRule="exact"/>
              <w:rPr>
                <w:sz w:val="20"/>
                <w:szCs w:val="20"/>
                <w:color w:val="auto"/>
              </w:rPr>
            </w:pPr>
            <w:r>
              <w:rPr>
                <w:rFonts w:ascii="Times New Roman" w:cs="Times New Roman" w:eastAsia="Times New Roman" w:hAnsi="Times New Roman"/>
                <w:sz w:val="14"/>
                <w:szCs w:val="14"/>
                <w:b w:val="1"/>
                <w:bCs w:val="1"/>
                <w:color w:val="auto"/>
              </w:rPr>
              <w:t xml:space="preserve">Repayments </w:t>
            </w:r>
            <w:r>
              <w:rPr>
                <w:rFonts w:ascii="Times New Roman" w:cs="Times New Roman" w:eastAsia="Times New Roman" w:hAnsi="Times New Roman"/>
                <w:sz w:val="18"/>
                <w:szCs w:val="18"/>
                <w:b w:val="1"/>
                <w:bCs w:val="1"/>
                <w:i w:val="1"/>
                <w:iCs w:val="1"/>
                <w:color w:val="auto"/>
                <w:vertAlign w:val="superscript"/>
              </w:rPr>
              <w:t>(a)</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CEI Revolving Credit Facility</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13"/>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CEI Term Loan A</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CVA Delayed Draw Term Loan</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CEI Term Loan B</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CEI Term Loan B-1</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CEI Senior Secured Notes due 2032</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CEI Senior Secured Notes due 2025</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r>
      <w:tr>
        <w:trPr>
          <w:trHeight w:val="213"/>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CRC Senior Secured Notes</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CEI Senior Notes due 2027</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3"/>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CEI Senior Notes due 2032</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Improvement District Bonds</w:t>
            </w:r>
          </w:p>
        </w:tc>
        <w:tc>
          <w:tcPr>
            <w:tcW w:w="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20" w:type="dxa"/>
            <w:vAlign w:val="bottom"/>
          </w:tcPr>
          <w:p>
            <w:pPr>
              <w:spacing w:after="0"/>
              <w:rPr>
                <w:sz w:val="18"/>
                <w:szCs w:val="18"/>
                <w:color w:val="auto"/>
              </w:rPr>
            </w:pPr>
          </w:p>
        </w:tc>
        <w:tc>
          <w:tcPr>
            <w:tcW w:w="66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contractually scheduled repayments as well as voluntary accelerated repayments.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Covenant Compliance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2027, the CEI Senior Notes due 2029 and the CEI Senior Notes due 2032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all of the applicable financial covenants described above.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Caesars Virginia LLC’s compliance requirements commence starting March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2027, the CEI Senior Notes due 2029 and the CEI Senior Notes due 2032 are guaranteed on a senior unsecured basis by such subsidiaries.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10. Revenue Recognition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Casino Revenues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casino revenues consist of gaming wagers, pari-mutuel commissions, sports betting and iGaming wagers. Casino revenue represents the Company’s net win from these gaming activities, which is the difference between gaming wins and losses, not the total amount wagered. Progressive jackpots are accrued and charged to revenue at the time the obligation to pay the jackpot is established. Gaming revenues are recognized net of free bets, free play, matched deposits, and other similar incentives to its customers. During significant promotional periods, such as entering new jurisdictions with our Caesars Sportsbook or Caesars Racebook apps, such activity could result in negative net gaming revenue. Such periods are not long in duration as our level of investment during these promotional periods is within our discretion. Pari-mutuel commissions consist of commissions earned from thoroughbred and harness racing and importing of simulcast signals from other racetracks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racetracks at the time wagers are made, which are recorded on a gross basis. Such fees are based upon a predetermined percentage of handle as contracted with the other racetracks.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Non-gaming Revenues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Hotel, food and beverage, and other operating revenues are recognized as services are performed and is the net amount collected from the customer for such goods and services. 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revenue recognition criteria has been met. The Company also provides goods and services that may include multiple performance obligations, such as for packages, for which revenues are allocated on a pro rata basis based on each service’s standalone selling price (“SSP”).</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on behalf of governmental authorities are accounted for on a net basis and are not included in net revenues or operating expenses.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Statements of Operations presents net revenue disaggregated by type or nature of the good or service. A summary of net revenues disaggregated by type of revenue and reportable segment is presented below. Refer to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for additional information on the Company’s reportable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Credit Risk</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issue credit to approved casino customers following investigations of creditworthiness. Business or economic conditions or other significant events could affect the collectability of these receivables. Accounts receivable are non-interest bearing and are initially recorded at cost.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play represents a meaningful portion of our overall table games volume. We maintain strict controls over the issuance of markers and aggressively pursue collection from those customers who fail to pay their marker balances timely. These collection efforts include the mailing of statements and delinquency notices and the use of personal contacts, outside collection agencies and civil litigation. Markers are generally legally enforceable instruments in the United States. Markers are not legally enforceable instruments in some foreign countries, but the United States assets of foreign customers may be reached to satisfy judgments entered in the United States. We consider the likelihood and difficulty of enforceability, among other factors, when we issue credit to customers who are not residents of the United States.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receivables, including casino and hotel receivables, are typically non-interest bearing. Accounts are written off when management deems the account to be uncollectible. Recoveries of accounts previously written off are recorded when received. Management believes that as of December 31, 2024 and 2023, no significant concentrations of credit risk related to receivables existed.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Reserve for Uncollectible Accounts Receivable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estimated allowance for doubtful accounts is maintained to reduce the Company’s receivables to their carrying amount, which approximates fair value. The allowance is estimated based on specific review of customer accounts, historical collection experience, customer relationships and reasonable forecasts which consider current economic and business conditions to reflect current expected credit loss. As with many estimates, management must make judgments about potential actions by third parties in establishing and evaluating our reserves for bad debts.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Net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 and 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Doubtful Accounts</w:t>
      </w: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tcPr>
          <w:p>
            <w:pPr>
              <w:jc w:val="right"/>
              <w:ind w:right="19"/>
              <w:spacing w:after="0" w:line="171" w:lineRule="exact"/>
              <w:rPr>
                <w:sz w:val="20"/>
                <w:szCs w:val="20"/>
                <w:color w:val="auto"/>
              </w:rPr>
            </w:pPr>
            <w:r>
              <w:rPr>
                <w:rFonts w:ascii="Times New Roman" w:cs="Times New Roman" w:eastAsia="Times New Roman" w:hAnsi="Times New Roman"/>
                <w:sz w:val="16"/>
                <w:szCs w:val="16"/>
                <w:b w:val="1"/>
                <w:bCs w:val="1"/>
                <w:color w:val="auto"/>
              </w:rPr>
              <w:t>Contracts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81"/>
              <w:spacing w:after="0" w:line="172" w:lineRule="exact"/>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19"/>
                <w:szCs w:val="19"/>
                <w:b w:val="1"/>
                <w:bCs w:val="1"/>
                <w:i w:val="1"/>
                <w:iCs w:val="1"/>
                <w:color w:val="auto"/>
                <w:vertAlign w:val="superscript"/>
              </w:rPr>
              <w:t>(a)</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19"/>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2022</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Write-offs less recoveries</w:t>
            </w:r>
          </w:p>
        </w:tc>
        <w:tc>
          <w:tcPr>
            <w:tcW w:w="1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7"/>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Write-offs less recoveries</w:t>
            </w:r>
          </w:p>
        </w:tc>
        <w:tc>
          <w:tcPr>
            <w:tcW w:w="1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Write-offs less recoveries</w:t>
            </w:r>
          </w:p>
        </w:tc>
        <w:tc>
          <w:tcPr>
            <w:tcW w:w="1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“Other” includes allowance associated with lease receivables under ASC 842. See </w:t>
      </w:r>
      <w:r>
        <w:rPr>
          <w:rFonts w:ascii="Times New Roman" w:cs="Times New Roman" w:eastAsia="Times New Roman" w:hAnsi="Times New Roman"/>
          <w:sz w:val="14"/>
          <w:szCs w:val="14"/>
          <w:i w:val="1"/>
          <w:iCs w:val="1"/>
          <w:u w:val="single" w:color="auto"/>
          <w:color w:val="0000FF"/>
        </w:rPr>
        <w:t>Note 7</w:t>
      </w:r>
      <w:r>
        <w:rPr>
          <w:rFonts w:ascii="Times New Roman" w:cs="Times New Roman" w:eastAsia="Times New Roman" w:hAnsi="Times New Roman"/>
          <w:sz w:val="14"/>
          <w:szCs w:val="14"/>
          <w:i w:val="1"/>
          <w:iCs w:val="1"/>
          <w:color w:val="auto"/>
        </w:rPr>
        <w:t xml:space="preserve"> for further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and Contract Related Liabilities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contract or contract 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Chip Liability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impact on gaming revenues on an annual basis to reflect an estimate of the change in the value of outstanding chips that are not expected to be redeemed. This estimate is determined by measuring the difference between the total value of chips placed in service less the value of chips under our control. This measurement is performed on an annual basis utilizing a methodology in which a consistent formula is applied to estimate the percentage of chips not in our custody that are not expected to be redeemed. In addition to the formula, certain judgments are made with regard to various denominations and souvenir chips. The outstanding chip liability is included in accrued other liabilities on the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Rewards Loyalty Program</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Caesars Rewards grants Reward Credits to Caesars Rewards Members based on various types of customer spend, including online and retail gaming, hotel, dining, and retail shopping at Caesars-affiliated properties. Members may redeem Reward Credits for complimentary or discounted goods and services such as rooms, food and beverages, merchandise, free play, entertainment, and travel accommodations. Members are able to accumulate Reward Credits over time that they may redeem at their discretion under the terms of the program. A member’s Reward Credit balance is forfeited if the member does not earn at least one Reward Credit during a continuous six-month period.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significance of the Caesars Rewards program and the ability for customers to accumulate Reward Credits based on their past play, we have determined that Reward Credits granted in conjunction with other earning activity represent a performance obligation. As a result, for transactions in which Reward Credits are earned, we allocate a portion of the transaction price to the Reward Credits that are earned based upon the relative SSP of the goods and services involved. When the activity underlying the “earning” of the Reward Credits has a wide range of selling prices and is highly variable, such as in the case of gaming activities, we use the residual approach in this allocation by computing the value of the Reward Credits as described below and allocating the residual amount to the gaming activity. This allocation results in a significant portion of the transaction price being deferred and is recognized as revenue when the Reward Credits are redeemed in accordance with the specific recognition policy of the activity for which the credits are redeemed.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Caesars Rewards loyalty program includes various tiers that offer different benefits, and members are able to earn credits towards tier status, which generally enables them to receive discounts similar to those provided as complimentaries described below. We have determined that any such discounts received as a result of tier status do not represent material rights, and therefore, we do not account for them as distinct performance obligations.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the SSP of a Reward Credit by computing the redemption value of credits expected to be redeemed. Because Reward Credits are not otherwise independently sold, we analyzed all Reward Credit redemption activity over the preceding calendar year and determined the redemption value based on the fair market value of the goods and services for which the Reward Credits were redeemed. We have applied the practical expedient under the portfolio approach to our Reward Credit transactions because of the similarity of gaming and other transactions and the homogeneity of Reward Credits.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determining the SSP for Reward Credits, we also determined that there is generally an amount of Reward Credits that is not redeemed, which is considered “breakage.” We recognize the expected breakage proportionally with the pattern of revenue recognized related to the redemption of Reward Credits. We periodically reassess our customer behaviors and revise our expectations as deemed necessary on a prospective basis.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short-term and long-term contract and contract related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Chip Liability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Customer Deposits and Other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2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9"/>
              </w:rPr>
              <w:t>549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7"/>
              </w:rPr>
              <w:t>(144)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760"/>
        <w:spacing w:after="0" w:line="438" w:lineRule="auto"/>
        <w:rPr>
          <w:sz w:val="20"/>
          <w:szCs w:val="20"/>
          <w:color w:val="auto"/>
        </w:rPr>
      </w:pPr>
      <w:r>
        <w:rPr>
          <w:rFonts w:ascii="Times New Roman" w:cs="Times New Roman" w:eastAsia="Times New Roman" w:hAnsi="Times New Roman"/>
          <w:sz w:val="18"/>
          <w:szCs w:val="18"/>
          <w:color w:val="auto"/>
        </w:rPr>
        <w:t xml:space="preserve">Customer deposits and other deferred revenues decreased in 2024 primarily due to a reduction in both advanced ticket sales and gaming deposits. </w:t>
      </w:r>
      <w:r>
        <w:rPr>
          <w:rFonts w:ascii="Times New Roman" w:cs="Times New Roman" w:eastAsia="Times New Roman" w:hAnsi="Times New Roman"/>
          <w:sz w:val="18"/>
          <w:szCs w:val="18"/>
          <w:i w:val="1"/>
          <w:iCs w:val="1"/>
          <w:u w:val="single" w:color="auto"/>
          <w:color w:val="auto"/>
        </w:rPr>
        <w:t>Complimentaries</w:t>
      </w:r>
    </w:p>
    <w:p>
      <w:pPr>
        <w:spacing w:after="0" w:line="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 offers discretionary coupons and other discretionary complimentaries to customers outside of the loyalty program such as matching deposits, free bets and free play. Such complimentaries are provided in conjunction with other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activities and are generally provided to encourage additional customer spending on those activities. Accordingly, the Company allocates a portion of the transaction price received from such customers to the complimentary goods and services. The Company performs this allocation based on the SSP of the underlying goods and services, which is determined based upon the weighted-average cash sales prices received for similar services at similar points during the year. 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are recorded as an expense when incurred.</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revenues included complimentaries and loyalty point redemptions totaling $1.3 billion, $1.4 billion and $1.2 billion for the years ended December 31, 2024, 2023 and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11. Earnings per Share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Caesars by the weighted average shares outstanding during the reporting period. Diluted EPS is computed similarly to basic EPS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period in which the Company generated a net loss from continuing operations attributable to Caesars, the weighted average shares outstanding - basic was used in calculating diluted loss per share because using diluted shares would have been anti-dilutive to loss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reconciliation of the numerators and denominators of the basic and diluted net income (loss) per share computations during the years ended December 31, 2024, 2023 and 2022:</w:t>
      </w:r>
    </w:p>
    <w:p>
      <w:pPr>
        <w:spacing w:after="0" w:line="15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82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 attributable to Caesars, net of income taxes</w:t>
            </w: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3"/>
        </w:trPr>
        <w:tc>
          <w:tcPr>
            <w:tcW w:w="7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Discontinued operations, net of income taxes</w:t>
            </w:r>
          </w:p>
        </w:tc>
        <w:tc>
          <w:tcPr>
            <w:tcW w:w="8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2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82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2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3"/>
        </w:trPr>
        <w:tc>
          <w:tcPr>
            <w:tcW w:w="7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 income (loss) per share from continuing operations</w:t>
            </w:r>
          </w:p>
        </w:tc>
        <w:tc>
          <w:tcPr>
            <w:tcW w:w="82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loss per share from discontinued operations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2"/>
        </w:trPr>
        <w:tc>
          <w:tcPr>
            <w:tcW w:w="7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attributable to common stockholders – basic:</w:t>
            </w: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Diluted income (loss) per share from continuing operations</w:t>
            </w:r>
          </w:p>
        </w:tc>
        <w:tc>
          <w:tcPr>
            <w:tcW w:w="82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loss per share from discontinued operations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2"/>
        </w:trPr>
        <w:tc>
          <w:tcPr>
            <w:tcW w:w="7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attributable to common stockholders – diluted:</w:t>
            </w: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Weighted-Average Number of Anti-Dilutive Shares Excluded from Calculation of EPS</w:t>
      </w:r>
    </w:p>
    <w:p>
      <w:pPr>
        <w:spacing w:after="0" w:line="2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9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760" w:type="dxa"/>
            <w:vAlign w:val="bottom"/>
            <w:tcBorders>
              <w:top w:val="single" w:sz="8" w:color="auto"/>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anti-dilutive common stock</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7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12. Stock-Based Compensation and 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long-term incentive plans which allow for granting stock-based compensation awards of Company Common Stock to directors, employees, officers, and consultants or advisers who render services to the Company or its subsidiaries,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 Plans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(“Board”) adopted, and the Company’s stockholders approved, the 2015 Equity Incentive Plan, as amended and restated in 2019 (the “2015 Plan”), which allows for shares to be granted as part of the Company’s long-term incentive plan. On April 24, 2024, the Board approved an amendment to the 2015 Plan and the Company’s stockholders subsequently approved the adoption of the amended and restated 2015 Plan on June 11, 2024. The amendment to the 2015 Plan allows for, among other things, an increase in the number of shares available for future grants to 8 million shares, plus the number of shares available for issuance under the 2015 Plan on the date the Company’s stockholders approved the amendment. As of December 31, 2024, the Company had approximately 10 million shares available for grant under the 2015 Plan.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awards granted to employees and executive officers generally vest within one to three years from the grant date either ratably on each anniversary, or entirely at the end of the service period. Awards may also contain performance conditions in addition to time based vesting conditions. Performance awards relate to the achievement of defined levels of performance and will vest and become payable at the end of the vesting period. Performance awards may contain targeted performance levels, which may ultimately vest within a range of 0% to 200% of the target award, based on defined operating metrics or market performance as compared to a peer group. RSUs granted to non-employee directors generally vest immediately and are issued on the vesting date, or may be deferred.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in the accompanying Statements of Operations was $94 million, $104 million and $101 million during the years ended December 31, 2024, 2023 and 2022, respectively. These amounts are included in Corporate expenses in the Company’s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 Activity</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RSUs to employees of the Company with an aggregate fair value of $88 million. Each RSU represents the right to receive payment in respect of one share of the Company’s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RSUs activity for the year ended December 31, 2024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7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Date Fair Value </w:t>
            </w:r>
            <w:r>
              <w:rPr>
                <w:rFonts w:ascii="Times New Roman" w:cs="Times New Roman" w:eastAsia="Times New Roman" w:hAnsi="Times New Roman"/>
                <w:sz w:val="21"/>
                <w:szCs w:val="21"/>
                <w:b w:val="1"/>
                <w:bCs w:val="1"/>
                <w:i w:val="1"/>
                <w:iCs w:val="1"/>
                <w:color w:val="auto"/>
                <w:vertAlign w:val="superscript"/>
              </w:rPr>
              <w:t>(a)</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as of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i w:val="1"/>
                <w:iCs w:val="1"/>
                <w:color w:val="auto"/>
                <w:vertAlign w:val="superscript"/>
              </w:rPr>
              <w:t>(b)</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as of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2,668,811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weighted-average grant date fair value of RSUs, which is the share price of our common stock on the grant date.</w:t>
      </w:r>
    </w:p>
    <w:p>
      <w:pPr>
        <w:spacing w:after="0" w:line="43"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Included are 45,800 RSUs granted to non-employee members of the Board during the year ended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Stock Unit Activity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PSUs to employees of the Company with an aggregate fair value of $5 million as of December 31, 2024. On the vesting date, recipients will receive between 0% and 200% of the target number of PSUs granted, in the form of Company Common Stock, based on the achievement of specified performance conditions and terms of the underlying award agreement. The fair value of the PSUs is based on the market price of our common stock when a mutual understanding of the key terms and conditions of the awards between the Company and recipient is achieved. The awards are remeasured each period until such an understanding is reached.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PSUs activity for the year ended December 31, 2024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1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Date Fair Value </w:t>
            </w:r>
            <w:r>
              <w:rPr>
                <w:rFonts w:ascii="Times New Roman" w:cs="Times New Roman" w:eastAsia="Times New Roman" w:hAnsi="Times New Roman"/>
                <w:sz w:val="21"/>
                <w:szCs w:val="21"/>
                <w:b w:val="1"/>
                <w:bCs w:val="1"/>
                <w:i w:val="1"/>
                <w:iCs w:val="1"/>
                <w:color w:val="auto"/>
                <w:vertAlign w:val="superscript"/>
              </w:rPr>
              <w:t>(a)</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as of December 31, 2023</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0" w:type="dxa"/>
            <w:vAlign w:val="bottom"/>
          </w:tcPr>
          <w:p>
            <w:pPr>
              <w:spacing w:after="0"/>
              <w:rPr>
                <w:sz w:val="1"/>
                <w:szCs w:val="1"/>
                <w:color w:val="auto"/>
              </w:rPr>
            </w:pPr>
          </w:p>
        </w:tc>
      </w:tr>
      <w:tr>
        <w:trPr>
          <w:trHeight w:val="21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19"/>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Adjustment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0" w:type="dxa"/>
            <w:vAlign w:val="bottom"/>
          </w:tcPr>
          <w:p>
            <w:pPr>
              <w:spacing w:after="0"/>
              <w:rPr>
                <w:sz w:val="1"/>
                <w:szCs w:val="1"/>
                <w:color w:val="auto"/>
              </w:rPr>
            </w:pPr>
          </w:p>
        </w:tc>
      </w:tr>
      <w:tr>
        <w:trPr>
          <w:trHeight w:val="219"/>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outstanding as of December 31, 2024</w:t>
            </w:r>
          </w:p>
        </w:tc>
        <w:tc>
          <w:tcPr>
            <w:tcW w:w="1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31" w:lineRule="auto"/>
        <w:tabs>
          <w:tab w:leader="none" w:pos="327" w:val="left"/>
        </w:tabs>
        <w:numPr>
          <w:ilvl w:val="0"/>
          <w:numId w:val="4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This represents the weighted-average grant date fair value for PSUs where the grant date has been achieved or the price of our common stock as of the balance sheet date for PSUs where a grant date has not been achieved.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Market-Based Stock Unit Activity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MSUs to employees of the Company with an aggregate fair value of $26 million. On the vesting date, recipients will receive between 0% and 200% of the granted MSUs in the form of Company Common Stock based on the achievement of specified market and service conditions. Based on the terms and conditions of the awards, the grant date fair value of the MSUs was determined using a Monte Carlo simulation model. Key assumptions for the Monte Carlo simulation model are the risk-free interest rate, expected volatility, expected dividends and correlation coefficient. The effect of market conditions is considered in determining the grant date fair value, which is not subsequently revised based on actual performance.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MSUs activity for the year ended December 31, 2024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7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Date Fair Value </w:t>
            </w:r>
            <w:r>
              <w:rPr>
                <w:rFonts w:ascii="Times New Roman" w:cs="Times New Roman" w:eastAsia="Times New Roman" w:hAnsi="Times New Roman"/>
                <w:sz w:val="21"/>
                <w:szCs w:val="21"/>
                <w:b w:val="1"/>
                <w:bCs w:val="1"/>
                <w:i w:val="1"/>
                <w:iCs w:val="1"/>
                <w:color w:val="auto"/>
                <w:vertAlign w:val="superscript"/>
              </w:rPr>
              <w:t>(a)</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as of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Performance Adjustment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outstanding as of December 31,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40" w:type="dxa"/>
            <w:vAlign w:val="bottom"/>
            <w:gridSpan w:val="2"/>
          </w:tcPr>
          <w:p>
            <w:pPr>
              <w:spacing w:after="0"/>
              <w:rPr>
                <w:sz w:val="20"/>
                <w:szCs w:val="20"/>
                <w:color w:val="auto"/>
              </w:rPr>
            </w:pPr>
            <w:r>
              <w:rPr>
                <w:rFonts w:ascii="Times New Roman" w:cs="Times New Roman" w:eastAsia="Times New Roman" w:hAnsi="Times New Roman"/>
                <w:sz w:val="9"/>
                <w:szCs w:val="9"/>
                <w:i w:val="1"/>
                <w:iCs w:val="1"/>
                <w:color w:val="auto"/>
              </w:rPr>
              <w:t>(a)</w:t>
            </w:r>
          </w:p>
        </w:tc>
        <w:tc>
          <w:tcPr>
            <w:tcW w:w="63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Represents the grant date fair value determined using a Monte Carlo simulation model.</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3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4"/>
        </w:trPr>
        <w:tc>
          <w:tcPr>
            <w:tcW w:w="1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Stock Option Activity</w:t>
            </w:r>
          </w:p>
        </w:tc>
        <w:tc>
          <w:tcPr>
            <w:tcW w:w="49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There was no stock option activity during the year ended December 31, 2024.</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Stock Option Exercises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40" w:type="dxa"/>
            <w:vAlign w:val="bottom"/>
            <w:gridSpan w:val="6"/>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vMerge w:val="continue"/>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1100" w:type="dxa"/>
            <w:vAlign w:val="bottom"/>
            <w:tcBorders>
              <w:top w:val="single" w:sz="8" w:color="auto"/>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Exercises: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Number of options exercised</w:t>
            </w:r>
          </w:p>
        </w:tc>
        <w:tc>
          <w:tcPr>
            <w:tcW w:w="360" w:type="dxa"/>
            <w:vAlign w:val="bottom"/>
          </w:tcPr>
          <w:p>
            <w:pPr>
              <w:spacing w:after="0"/>
              <w:rPr>
                <w:sz w:val="18"/>
                <w:szCs w:val="18"/>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received for options exercised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Aggregate intrinsic value of options exercised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Unrecognized Compensation Cost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$105 million of unrecognized compensation expense, which is expected to be recognized over a weighted-average period of 1.8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AOCI by component, net of tax, for the periods through December 31, 2024 and 2023 are shown below.</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AOCI by component, net of tax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 Net</w:t>
            </w: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Gains on Derivative</w:t>
            </w: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1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4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 net of tax</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2018, the Company announced that its Board of Directors authorized a $150 million common stock repurchase program (the “2018 Share Repurchase Program”). For the year ended December 31, 2024, the Company acquired 3,872,478 shares of common stock under the 2018 Share Repurchase Program at an aggregate value of $141 million, excluding any applicable excise taxes, and an average of $36.38 per share. In connection with these repurchases, including repurchases of $9 million in 2018, the 2018 Share Repurchase Program was completed and all shares repurchased under the 2018 Share Repurchase Program were retired.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 2024, the Company announced that its Board of Directors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As of December 31, 2024, the Company has acquired 1,262,990 shares of common stock under the 2024 Share Repurchase Program at an aggregate value of $50 million, excluding any applicable excise taxes, and an average of $39.59 per share. The 2024 Share Repurchase Program has no time limit and may be suspended or discontinued at any time without notice. There is no minimum number of shares of common stock that the Company is required to repurchase under the 2024 Share Repurchase Program. All share repurchases under the 2024 Share Repurchase Program are retired upon repurchase.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during the years ended December 31, 2023 or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in Escrow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settlement of convertible notes during 2021, the Company issued approximately 139 thousand shares of common stock, at a fair value of approximately $14 million. The shares were contributed to, and held in, an escrow trust which was recorded within Treasury stock. During the year ended December 31, 2024, the shares were released from escrow and returned to the Company following an update to the estimated disputed claims liability.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13. Employee Benefit Plans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offers a 401(k) plan to substantially all employees who are not covered by collective bargaining agreements, who meet certain eligibility requirements, namely terms of service. Under the 401(k) plan, the Company matches contributions equal to 50% of the first 6% as outlined per plan documents.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matching contribution expense totaled $31 million, $29 million and $29 million for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Defined-Benefit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2024, the fair value of the plan assets and benefit obligation was $1 million. We did not make cash contributions to the pension plan during 2024, 2023 and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also sponsors a defined-benefit plan for certain Tropicana Atlantic City employees under a Variable Annuity Pension Plan. As of December 31, 2024, the fair value of the plan assets was $29 million and benefit obligations totaled $19 million. Contributions to the plan were $2 million for each of the years ended December 31,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assumed two active deferred compensation plans, the Caesars Entertainment Corporation Executive Supplemental Savings Plan III (“ESSP III”) and the Caesars Entertainment Corporation Outside Director Deferred Compensation Plan. These plans are unfunded, non-qualified deferred compensation plans. Payment obligations pursuant to the plans are unsecured general obligations of the Company and affiliates of the Company employing participants in the ESSP III. The liability as of December 31, 2024 and 2023 was $6 million and $5 million, respectively, which was recorded in Other long-term liabilities in the Balance Sheets.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certain current and former employees of Caesars, and our subsidiaries and affiliates, have balances under: (i) the Harrah’s Entertainment, Inc. Executive Supplemental Savings Plan, (ii) the Harrah’s Entertainment, Inc. Executive Supplemental Savings Plan II, (iii) the Park Place Entertainment Corporation Executive Deferred Compensation Plan, (iv) the Harrah’s Entertainment, Inc. Deferred Compensation Plan, and (v) the Harrah’s Entertainment, Inc. Executive Deferred Compensation Plan (collectively, the “existing deferred compensation plans”). These plans are deferred compensation plans that allowed certain employees an opportunity to save for retirement and other purposes. Each of the plans are now frozen and no longer accepting contributions. However, participants may still earn returns on existing plan balances based upon their selected investment alternatives, which are reflected in their deferral accounts. The total liability recorded in Other long-term liabilities in the Balance Sheets for these plans was $30 million and $31 million as of December 31, 2024 and 2023,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Trust Assets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CEI is a party to a trust agreement (the “Trust Agreement”) and an escrow agreement with respect to all five of the existing deferred compensation plans (the “Escrow Agreement”), each structured as a so-called “rabbi trust” arrangement, which holds assets that may be used to satisfy obligations under the existing deferred compensation plans above. Amounts held pursuant to the Trust Agreement and the Escrow Agreement were $53 million and $67 million, as of December 31, 2024 and 2023, respectively, and have been reflected within Other long-term assets, net in the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Plans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 bargaining agreements that cover union-represented employees. The risks of participating in these multi-employer plans are different from a single-employer plan in the following respects:</w:t>
      </w:r>
    </w:p>
    <w:p>
      <w:pPr>
        <w:spacing w:after="0" w:line="108"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the Company may be required to pay those plans an amount based on the underfunding of the plan, referred to as a “withdrawal liability.”</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Multi-employer Pension Plan Participation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Pension Protection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7"/>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80"/>
              <w:spacing w:after="0" w:line="203" w:lineRule="exact"/>
              <w:rPr>
                <w:sz w:val="20"/>
                <w:szCs w:val="20"/>
                <w:color w:val="auto"/>
              </w:rPr>
            </w:pPr>
            <w:r>
              <w:rPr>
                <w:rFonts w:ascii="Times New Roman" w:cs="Times New Roman" w:eastAsia="Times New Roman" w:hAnsi="Times New Roman"/>
                <w:sz w:val="16"/>
                <w:szCs w:val="16"/>
                <w:b w:val="1"/>
                <w:bCs w:val="1"/>
                <w:color w:val="auto"/>
                <w:w w:val="98"/>
              </w:rPr>
              <w:t xml:space="preserve">Act Zone Status </w:t>
            </w:r>
            <w:r>
              <w:rPr>
                <w:rFonts w:ascii="Times New Roman" w:cs="Times New Roman" w:eastAsia="Times New Roman" w:hAnsi="Times New Roman"/>
                <w:sz w:val="21"/>
                <w:szCs w:val="21"/>
                <w:b w:val="1"/>
                <w:bCs w:val="1"/>
                <w:i w:val="1"/>
                <w:iCs w:val="1"/>
                <w:color w:val="auto"/>
                <w:w w:val="98"/>
                <w:vertAlign w:val="superscript"/>
              </w:rPr>
              <w:t>(a)</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EIN/Pension Plan</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FIP/RP</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Surcharge</w:t>
            </w:r>
          </w:p>
        </w:tc>
        <w:tc>
          <w:tcPr>
            <w:tcW w:w="18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Expiration Date of</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Fund</w:t>
            </w:r>
          </w:p>
        </w:tc>
        <w:tc>
          <w:tcPr>
            <w:tcW w:w="1500" w:type="dxa"/>
            <w:vAlign w:val="bottom"/>
            <w:gridSpan w:val="2"/>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Collective Bargaining</w:t>
            </w:r>
          </w:p>
        </w:tc>
        <w:tc>
          <w:tcPr>
            <w:tcW w:w="0" w:type="dxa"/>
            <w:vAlign w:val="bottom"/>
          </w:tcPr>
          <w:p>
            <w:pPr>
              <w:spacing w:after="0"/>
              <w:rPr>
                <w:sz w:val="1"/>
                <w:szCs w:val="1"/>
                <w:color w:val="auto"/>
              </w:rPr>
            </w:pPr>
          </w:p>
        </w:tc>
      </w:tr>
      <w:tr>
        <w:trPr>
          <w:trHeight w:val="216"/>
        </w:trPr>
        <w:tc>
          <w:tcPr>
            <w:tcW w:w="2460" w:type="dxa"/>
            <w:vAlign w:val="bottom"/>
            <w:gridSpan w:val="2"/>
            <w:vMerge w:val="continue"/>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Status </w:t>
            </w:r>
            <w:r>
              <w:rPr>
                <w:rFonts w:ascii="Times New Roman" w:cs="Times New Roman" w:eastAsia="Times New Roman" w:hAnsi="Times New Roman"/>
                <w:sz w:val="21"/>
                <w:szCs w:val="21"/>
                <w:b w:val="1"/>
                <w:bCs w:val="1"/>
                <w:i w:val="1"/>
                <w:iCs w:val="1"/>
                <w:color w:val="auto"/>
                <w:w w:val="95"/>
                <w:vertAlign w:val="superscript"/>
              </w:rPr>
              <w:t>(b)</w:t>
            </w: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Imposed</w:t>
            </w:r>
          </w:p>
        </w:tc>
        <w:tc>
          <w:tcPr>
            <w:tcW w:w="18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Agreement </w:t>
            </w:r>
            <w:r>
              <w:rPr>
                <w:rFonts w:ascii="Times New Roman" w:cs="Times New Roman" w:eastAsia="Times New Roman" w:hAnsi="Times New Roman"/>
                <w:sz w:val="21"/>
                <w:szCs w:val="21"/>
                <w:b w:val="1"/>
                <w:bCs w:val="1"/>
                <w:i w:val="1"/>
                <w:iCs w:val="1"/>
                <w:color w:val="auto"/>
                <w:w w:val="96"/>
                <w:vertAlign w:val="superscript"/>
              </w:rPr>
              <w:t>(c)</w:t>
            </w:r>
          </w:p>
        </w:tc>
        <w:tc>
          <w:tcPr>
            <w:tcW w:w="0" w:type="dxa"/>
            <w:vAlign w:val="bottom"/>
          </w:tcPr>
          <w:p>
            <w:pPr>
              <w:spacing w:after="0"/>
              <w:rPr>
                <w:sz w:val="1"/>
                <w:szCs w:val="1"/>
                <w:color w:val="auto"/>
              </w:rPr>
            </w:pPr>
          </w:p>
        </w:tc>
      </w:tr>
      <w:tr>
        <w:trPr>
          <w:trHeight w:val="155"/>
        </w:trPr>
        <w:tc>
          <w:tcPr>
            <w:tcW w:w="238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Southern Nevada Culinary and</w:t>
            </w: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88-6016617/001</w:t>
            </w: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Green</w:t>
            </w: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No</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No</w:t>
            </w:r>
          </w:p>
        </w:tc>
        <w:tc>
          <w:tcPr>
            <w:tcW w:w="10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September 30, 2028</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Bartenders Pension Plan </w:t>
            </w:r>
            <w:r>
              <w:rPr>
                <w:rFonts w:ascii="Times New Roman" w:cs="Times New Roman" w:eastAsia="Times New Roman" w:hAnsi="Times New Roman"/>
                <w:sz w:val="21"/>
                <w:szCs w:val="21"/>
                <w:i w:val="1"/>
                <w:iCs w:val="1"/>
                <w:color w:val="auto"/>
                <w:vertAlign w:val="superscript"/>
              </w:rPr>
              <w:t>(d)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Legacy Plan of the UNITE HERE</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82-0994119/001</w:t>
            </w:r>
          </w:p>
        </w:tc>
        <w:tc>
          <w:tcPr>
            <w:tcW w:w="100" w:type="dxa"/>
            <w:vAlign w:val="bottom"/>
          </w:tcPr>
          <w:p>
            <w:pPr>
              <w:spacing w:after="0"/>
              <w:rPr>
                <w:sz w:val="14"/>
                <w:szCs w:val="14"/>
                <w:color w:val="auto"/>
              </w:rPr>
            </w:pP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Red</w:t>
            </w: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Various up to</w:t>
            </w: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Retirement Fund </w:t>
            </w:r>
            <w:r>
              <w:rPr>
                <w:rFonts w:ascii="Times New Roman" w:cs="Times New Roman" w:eastAsia="Times New Roman" w:hAnsi="Times New Roman"/>
                <w:sz w:val="21"/>
                <w:szCs w:val="21"/>
                <w:i w:val="1"/>
                <w:iCs w:val="1"/>
                <w:color w:val="auto"/>
                <w:vertAlign w:val="superscript"/>
              </w:rPr>
              <w:t>(d)(e)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30, 2027</w:t>
            </w: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Central Pension Fund of the IUOE</w:t>
            </w:r>
          </w:p>
        </w:tc>
        <w:tc>
          <w:tcPr>
            <w:tcW w:w="14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36-6052390/001</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Green</w:t>
            </w:r>
          </w:p>
        </w:tc>
        <w:tc>
          <w:tcPr>
            <w:tcW w:w="96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N/A</w:t>
            </w:r>
          </w:p>
        </w:tc>
        <w:tc>
          <w:tcPr>
            <w:tcW w:w="18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March 31, 2029</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&amp; Participating Employers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Western Conference of Teamsters</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91-6145047/001</w:t>
            </w:r>
          </w:p>
        </w:tc>
        <w:tc>
          <w:tcPr>
            <w:tcW w:w="100" w:type="dxa"/>
            <w:vAlign w:val="bottom"/>
          </w:tcPr>
          <w:p>
            <w:pPr>
              <w:spacing w:after="0"/>
              <w:rPr>
                <w:sz w:val="14"/>
                <w:szCs w:val="14"/>
                <w:color w:val="auto"/>
              </w:rPr>
            </w:pPr>
          </w:p>
        </w:tc>
        <w:tc>
          <w:tcPr>
            <w:tcW w:w="14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Green</w:t>
            </w: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N/A</w:t>
            </w: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August 31, 2029</w:t>
            </w:r>
          </w:p>
        </w:tc>
        <w:tc>
          <w:tcPr>
            <w:tcW w:w="0" w:type="dxa"/>
            <w:vAlign w:val="bottom"/>
          </w:tcPr>
          <w:p>
            <w:pPr>
              <w:spacing w:after="0"/>
              <w:rPr>
                <w:sz w:val="1"/>
                <w:szCs w:val="1"/>
                <w:color w:val="auto"/>
              </w:rPr>
            </w:pPr>
          </w:p>
        </w:tc>
      </w:tr>
      <w:tr>
        <w:trPr>
          <w:trHeight w:val="213"/>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Pension Plan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Painters IUPAT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52-6073909/001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Red</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30, 2026</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Funds</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Contributions</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jc w:val="both"/>
        <w:ind w:left="340" w:hanging="332"/>
        <w:spacing w:after="0"/>
        <w:tabs>
          <w:tab w:leader="none" w:pos="327" w:val="left"/>
        </w:tabs>
        <w:numPr>
          <w:ilvl w:val="0"/>
          <w:numId w:val="4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Pension Protection Act zone status for applicable plan year beginning January 1, except where noted otherwise. The zone status is based on information that the Company received from the plan administrator and is certified by the plan’s actuary. Among other factors, plans in the red zone are generally less than 65% funded, plans in the yellow zone are between 65% and less than 80% funded, and plans in the green zone are at least 80% funded. All plans detailed in the table above utilized extended amortization provisions to calculate zone status.</w:t>
      </w:r>
    </w:p>
    <w:p>
      <w:pPr>
        <w:spacing w:after="0" w:line="173"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4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Indicates plans for which a financial improvement plan (“FIP”) or a rehabilitation plan (“RP”) is either pending or has been implemented.</w:t>
      </w:r>
    </w:p>
    <w:p>
      <w:pPr>
        <w:spacing w:after="0" w:line="55" w:lineRule="exact"/>
        <w:rPr>
          <w:rFonts w:ascii="Times New Roman" w:cs="Times New Roman" w:eastAsia="Times New Roman" w:hAnsi="Times New Roman"/>
          <w:sz w:val="19"/>
          <w:szCs w:val="19"/>
          <w:i w:val="1"/>
          <w:iCs w:val="1"/>
          <w:color w:val="auto"/>
          <w:vertAlign w:val="superscript"/>
        </w:rPr>
      </w:pPr>
    </w:p>
    <w:p>
      <w:pPr>
        <w:ind w:left="320" w:hanging="312"/>
        <w:spacing w:after="0" w:line="191" w:lineRule="auto"/>
        <w:tabs>
          <w:tab w:leader="none" w:pos="320" w:val="left"/>
        </w:tabs>
        <w:numPr>
          <w:ilvl w:val="0"/>
          <w:numId w:val="4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terms of the current agreement continue indefinitely until either party provides appropriate notice of intent to terminate the contract.</w:t>
      </w:r>
    </w:p>
    <w:p>
      <w:pPr>
        <w:spacing w:after="0" w:line="44" w:lineRule="exact"/>
        <w:rPr>
          <w:rFonts w:ascii="Times New Roman" w:cs="Times New Roman" w:eastAsia="Times New Roman" w:hAnsi="Times New Roman"/>
          <w:sz w:val="19"/>
          <w:szCs w:val="19"/>
          <w:i w:val="1"/>
          <w:iCs w:val="1"/>
          <w:color w:val="auto"/>
          <w:vertAlign w:val="superscript"/>
        </w:rPr>
      </w:pPr>
    </w:p>
    <w:p>
      <w:pPr>
        <w:ind w:left="340" w:right="20" w:hanging="332"/>
        <w:spacing w:after="0" w:line="278" w:lineRule="auto"/>
        <w:tabs>
          <w:tab w:leader="none" w:pos="327" w:val="left"/>
        </w:tabs>
        <w:numPr>
          <w:ilvl w:val="0"/>
          <w:numId w:val="4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Company provided more than 5% of the total contributions for the plan year ended December 31, 2023 and as of the date the financial statements were issued, Forms 5500 were not available for the 2024 plan year.</w:t>
      </w:r>
    </w:p>
    <w:p>
      <w:pPr>
        <w:spacing w:after="0" w:line="14" w:lineRule="exact"/>
        <w:rPr>
          <w:rFonts w:ascii="Times New Roman" w:cs="Times New Roman" w:eastAsia="Times New Roman" w:hAnsi="Times New Roman"/>
          <w:sz w:val="9"/>
          <w:szCs w:val="9"/>
          <w:i w:val="1"/>
          <w:iCs w:val="1"/>
          <w:color w:val="auto"/>
        </w:rPr>
      </w:pPr>
    </w:p>
    <w:p>
      <w:pPr>
        <w:jc w:val="both"/>
        <w:ind w:left="340" w:right="20" w:hanging="332"/>
        <w:spacing w:after="0"/>
        <w:tabs>
          <w:tab w:leader="none" w:pos="336" w:val="left"/>
        </w:tabs>
        <w:numPr>
          <w:ilvl w:val="0"/>
          <w:numId w:val="4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HEREIU Pension Fund consists of two separate plans, the Legacy Plan of the HEREIU Pension Fund and the Adjustable Plan of the HEREIU Pension Fund. CEI makes a single contribution to the HEREIU Pension Fund, the Trustees of which allocate such contribution between the Legacy Plan and the Adjustable Plan. The contribution amount reflected to the Legacy Plan is the aggregate contribution made to the HEREIU Pension Fund before such allocation between the Legacy Plan and the Adjustable Plan of the HEREIU Pension Fund.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14. Income Taxes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income taxes for the years ended December 31, 2024, 2023 and 2022 are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Components of Income (Loss) Before Income Taxes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Outside of the U.S.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 from Continuing Operations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5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Current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Federal</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State &amp; Local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7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Federal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State &amp; Local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Outside of the U.S.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Deferred</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allocation of the total income tax provision (benefit) for the years ended December 31, 2024,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 applicable to:</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rPr>
              <w:t>(30)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of 21% to the Company’s reported income tax provision (benefit)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statutory income tax provision (benefit)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local income tax provision (benefit)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compensation and benefits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 impairment and write offs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uncertain tax positions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tax rates from change in tax law before valuation allowance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adjustment related to William Hill acquisition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Minority interests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credits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Reported income tax provision (benefit)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at December 31, 2024 and 2023 are as follows:</w:t>
      </w:r>
    </w:p>
    <w:p>
      <w:pPr>
        <w:spacing w:after="0" w:line="16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Loss carryforwards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Excess business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Credit carryforwards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obligation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Long-term lease obligation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09"/>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4,194</w:t>
            </w:r>
          </w:p>
        </w:tc>
      </w:tr>
      <w:tr>
        <w:trPr>
          <w:trHeight w:val="199"/>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Identified intangibles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Fixed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Right-of-use assets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Valuation allowance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2"/>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if sufficient future taxable income will be generated to use existing deferred tax assets. During the second quarter of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during the second quarter of 2023,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$52 million and $9.1 billion, respectively, and federal general business tax credit and research tax credit carryforwards of $89 million, which will expire on various dates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Year of Expiration</w:t>
            </w:r>
          </w:p>
        </w:tc>
        <w:tc>
          <w:tcPr>
            <w:tcW w:w="360" w:type="dxa"/>
            <w:vAlign w:val="bottom"/>
          </w:tcPr>
          <w:p>
            <w:pPr>
              <w:spacing w:after="0"/>
              <w:rPr>
                <w:sz w:val="18"/>
                <w:szCs w:val="18"/>
                <w:color w:val="auto"/>
              </w:rPr>
            </w:pPr>
          </w:p>
        </w:tc>
        <w:tc>
          <w:tcPr>
            <w:tcW w:w="336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Net Operating Losses</w:t>
            </w:r>
          </w:p>
        </w:tc>
        <w:tc>
          <w:tcPr>
            <w:tcW w:w="30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 Credits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50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6"/>
                <w:szCs w:val="16"/>
                <w:b w:val="1"/>
                <w:bCs w:val="1"/>
                <w:color w:val="auto"/>
              </w:rPr>
              <w:t>Federal</w:t>
            </w:r>
          </w:p>
        </w:tc>
        <w:tc>
          <w:tcPr>
            <w:tcW w:w="380" w:type="dxa"/>
            <w:vAlign w:val="bottom"/>
          </w:tcPr>
          <w:p>
            <w:pPr>
              <w:spacing w:after="0"/>
              <w:rPr>
                <w:sz w:val="13"/>
                <w:szCs w:val="13"/>
                <w:color w:val="auto"/>
              </w:rPr>
            </w:pPr>
          </w:p>
        </w:tc>
        <w:tc>
          <w:tcPr>
            <w:tcW w:w="13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States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ind w:left="320"/>
              <w:spacing w:after="0" w:line="142" w:lineRule="exact"/>
              <w:rPr>
                <w:sz w:val="20"/>
                <w:szCs w:val="20"/>
                <w:color w:val="auto"/>
              </w:rPr>
            </w:pPr>
            <w:r>
              <w:rPr>
                <w:rFonts w:ascii="Times New Roman" w:cs="Times New Roman" w:eastAsia="Times New Roman" w:hAnsi="Times New Roman"/>
                <w:sz w:val="16"/>
                <w:szCs w:val="16"/>
                <w:b w:val="1"/>
                <w:bCs w:val="1"/>
                <w:color w:val="auto"/>
              </w:rPr>
              <w:t>Federal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2025-2029</w:t>
            </w:r>
          </w:p>
        </w:tc>
        <w:tc>
          <w:tcPr>
            <w:tcW w:w="5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2030-2034</w:t>
            </w:r>
          </w:p>
        </w:tc>
        <w:tc>
          <w:tcPr>
            <w:tcW w:w="5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2035-2044</w:t>
            </w:r>
          </w:p>
        </w:tc>
        <w:tc>
          <w:tcPr>
            <w:tcW w:w="56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Do not expire</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382 of the Internal Revenue Code provides an annual limitation with respect to the ability of a corporation to utilize its net operating loss carryovers, as well as certain built-in losses, against future taxable income in the event of a change in ownership. It is unlikely that the limitation will adversely affect the Company’s ability to utilize its net operating loss carryovers against its future taxable income.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Reconciliation of Unrecognized Tax Benefits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beginning of year</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Sale of William Hill International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Reductions for tax positions for prior years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Expiration of statutes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end of year</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classify reserves for tax uncertainties within Other long-term liabilities in our Balance Sheets, separate from any related income tax payable, deferred tax asset, or deferred tax liability. Reserve amounts relate to any potential income tax liabilities resulting from uncertain tax positions as well as potential interest or penalties associated with those liabilities.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accrue interest and penalties related to unrecognized tax benefits in income tax expense. During 2024, we decreased our unrecognized tax benefits by $8 million, primarily due to a reduction in the Louisiana state tax rate due to a change in tax law. During 2023, we decreased our unrecognized tax benefits by $4 million, primarily due to the noncash settlement of a state audit. During 2022, we decreased our unrecognized tax benefits by $29 million, primarily due to the sale of William Hill International. There was an accrual for the payment of interest and penalties of $1 million as of December 31, 2024 and no accrual for the payment of interest and penalties as of December 31, 2023. Included in the balances of unrecognized tax benefits as of December 31, 2024 and December 31, 2023 was $106 million and $112 million, respectively, of unrecognized tax benefits that, if recognized, would impact the effective tax rate.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(the “OECD”) established an Inclusive Framework on Base Erosion and Profit Shifting and agreed on a two-pillar solution (“Pillar Two”) to global taxation, focusing on global profit allocation and a 15% global minimum effective tax rate. The OECD issued Pillar Two model rules and continues to release guidance on these rules. While the US has not yet adopted the Pillar Two rules, various other countries around the world are enacting legislation. We will continue to analyze the law to determine potential impacts. We currently do not expect the Framework to have a material impact on our effective tax rate or our financial statements.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including its subsidiaries, files tax returns with federal, state and foreign jurisdictions. The Company does not have tax sharing agreements with the other members within the consolidated group. With few exceptions, the Company is no longer subject to US federal or state and local tax assessments by tax authorities for years before 2021. We believe that it is reasonably possible that the unrecognized tax benefits liability will not materially change within the next 12 months. Audit outcomes and the timing of audit settlements are subject to significant uncertainty. Although we believe that adequate provision has been made for such issues, there is the possibility that the ultimate resolution of such issues could have an adverse effect on our earnings. Conversely, if these issues are resolved favorably in the future, the related provision would be reduced, thus having a favorable impact on earnings.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15. Related Party and Affiliate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 &amp; Y. Associates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December 31, 2024 and 2023 there were no amounts due to or from CSY.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CVA Holdco, LLC</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entered into a joint venture, CVA Holdco, LLC, with EBCI and an additional minority partner, to construct, own and operate a gaming facility in Danville, Virginia (“Caesars Virginia”). Caesars Virginia opened in a temporary facility on May 15, 2023 followed by the completion of construction and opening of the permanent facility on December 17, 2024. As the managing member, the Company operates the business and has managed the development, construction, financing, marketing, leasing, maintenance and day-to-day operation of the various phases of the project. The Company holds a 50.0% variable interest in the joint venture and is the primary beneficiary; as such, the joint venture’s operations are included in the Financial Statements, with a minority interest recorded reflecting the operations attributed to the other partner. The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participates ratably, based on ownership percentage, with the partners in the profits and losses of the joint venture. During the year ended December 31, 2024, the Company made distributions totaling $16 million to the partners.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Pompano Joint Venture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 in and advances to unconsolidated affiliates on the Balance Sheets. The Company participates evenly with Cordish in the profits and losses of the joint venture, which are included in Transaction and other costs, net on the Statements of Operations.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Pompano Joint Venture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9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in earnings</w:t>
            </w:r>
          </w:p>
        </w:tc>
        <w:tc>
          <w:tcPr>
            <w:tcW w:w="7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7"/>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2"/>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9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Equity in earnings</w:t>
            </w: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16. Segment Information</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a discussion of the impairment of intangibles and long-lived assets related to certain segments.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properties (listed by segment in which each property is reported)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Managed and Branded</w:t>
            </w:r>
          </w:p>
        </w:tc>
        <w:tc>
          <w:tcPr>
            <w:tcW w:w="0" w:type="dxa"/>
            <w:vAlign w:val="bottom"/>
          </w:tcPr>
          <w:p>
            <w:pPr>
              <w:spacing w:after="0"/>
              <w:rPr>
                <w:sz w:val="1"/>
                <w:szCs w:val="1"/>
                <w:color w:val="auto"/>
              </w:rPr>
            </w:pPr>
          </w:p>
        </w:tc>
      </w:tr>
      <w:tr>
        <w:trPr>
          <w:trHeight w:val="172"/>
        </w:trPr>
        <w:tc>
          <w:tcPr>
            <w:tcW w:w="248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Palace Las Vegas</w:t>
            </w:r>
          </w:p>
        </w:tc>
        <w:tc>
          <w:tcPr>
            <w:tcW w:w="100" w:type="dxa"/>
            <w:vAlign w:val="bottom"/>
            <w:tcBorders>
              <w:bottom w:val="single" w:sz="8" w:color="CCEEFF"/>
            </w:tcBorders>
            <w:shd w:val="clear" w:color="auto" w:fill="CCEEFF"/>
          </w:tcPr>
          <w:p>
            <w:pPr>
              <w:spacing w:after="0"/>
              <w:rPr>
                <w:sz w:val="14"/>
                <w:szCs w:val="14"/>
                <w:color w:val="auto"/>
              </w:rPr>
            </w:pPr>
          </w:p>
        </w:tc>
        <w:tc>
          <w:tcPr>
            <w:tcW w:w="262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Atlantic City</w:t>
            </w:r>
          </w:p>
        </w:tc>
        <w:tc>
          <w:tcPr>
            <w:tcW w:w="3360" w:type="dxa"/>
            <w:vAlign w:val="bottom"/>
            <w:tcBorders>
              <w:bottom w:val="single" w:sz="8" w:color="CCEEFF"/>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Harveys Lake Tahoe</w:t>
            </w: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i w:val="1"/>
                <w:iCs w:val="1"/>
                <w:color w:val="auto"/>
                <w:w w:val="95"/>
              </w:rPr>
              <w:t>Managed</w:t>
            </w:r>
          </w:p>
        </w:tc>
        <w:tc>
          <w:tcPr>
            <w:tcW w:w="2060" w:type="dxa"/>
            <w:vAlign w:val="bottom"/>
            <w:tcBorders>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4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3360" w:type="dxa"/>
            <w:vAlign w:val="bottom"/>
            <w:gridSpan w:val="2"/>
            <w:vMerge w:val="continue"/>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Cromwell</w:t>
            </w: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Caesars New Orleans</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Horseshoe Baltimore</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Harrah’s Ak-Chin</w:t>
            </w:r>
          </w:p>
        </w:tc>
        <w:tc>
          <w:tcPr>
            <w:tcW w:w="0" w:type="dxa"/>
            <w:vAlign w:val="bottom"/>
          </w:tcPr>
          <w:p>
            <w:pPr>
              <w:spacing w:after="0"/>
              <w:rPr>
                <w:sz w:val="1"/>
                <w:szCs w:val="1"/>
                <w:color w:val="auto"/>
              </w:rPr>
            </w:pPr>
          </w:p>
        </w:tc>
      </w:tr>
      <w:tr>
        <w:trPr>
          <w:trHeight w:val="25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Flamingo Las Vegas</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Horseshoe Black Hawk</w:t>
            </w:r>
          </w:p>
        </w:tc>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Cherokee</w:t>
            </w:r>
          </w:p>
        </w:tc>
        <w:tc>
          <w:tcPr>
            <w:tcW w:w="0" w:type="dxa"/>
            <w:vAlign w:val="bottom"/>
          </w:tcPr>
          <w:p>
            <w:pPr>
              <w:spacing w:after="0"/>
              <w:rPr>
                <w:sz w:val="1"/>
                <w:szCs w:val="1"/>
                <w:color w:val="auto"/>
              </w:rPr>
            </w:pPr>
          </w:p>
        </w:tc>
      </w:tr>
      <w:tr>
        <w:trPr>
          <w:trHeight w:val="25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Las Vegas</w:t>
            </w: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Circus Circus Reno</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Horseshoe Bossier City</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Harrah’s Cherokee Valley River</w:t>
            </w:r>
          </w:p>
        </w:tc>
        <w:tc>
          <w:tcPr>
            <w:tcW w:w="0" w:type="dxa"/>
            <w:vAlign w:val="bottom"/>
          </w:tcPr>
          <w:p>
            <w:pPr>
              <w:spacing w:after="0"/>
              <w:rPr>
                <w:sz w:val="1"/>
                <w:szCs w:val="1"/>
                <w:color w:val="auto"/>
              </w:rPr>
            </w:pPr>
          </w:p>
        </w:tc>
      </w:tr>
      <w:tr>
        <w:trPr>
          <w:trHeight w:val="26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Horseshoe Las Vegas</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Eldorado Gaming Scioto Downs</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Horseshoe Council Bluffs</w:t>
            </w:r>
          </w:p>
        </w:tc>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Resort Southern California</w:t>
            </w:r>
          </w:p>
        </w:tc>
        <w:tc>
          <w:tcPr>
            <w:tcW w:w="0" w:type="dxa"/>
            <w:vAlign w:val="bottom"/>
          </w:tcPr>
          <w:p>
            <w:pPr>
              <w:spacing w:after="0"/>
              <w:rPr>
                <w:sz w:val="1"/>
                <w:szCs w:val="1"/>
                <w:color w:val="auto"/>
              </w:rPr>
            </w:pPr>
          </w:p>
        </w:tc>
      </w:tr>
      <w:tr>
        <w:trPr>
          <w:trHeight w:val="25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LINQ Hotel &amp; Casino</w:t>
            </w: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Eldorado Resort Casino Reno</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Horseshoe Hammond</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Caesars Windsor</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Paris Las Vegas</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Grand Victoria Casino</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Horseshoe Indianapolis</w:t>
            </w:r>
          </w:p>
        </w:tc>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Branded</w:t>
            </w:r>
          </w:p>
        </w:tc>
        <w:tc>
          <w:tcPr>
            <w:tcW w:w="0" w:type="dxa"/>
            <w:vAlign w:val="bottom"/>
          </w:tcPr>
          <w:p>
            <w:pPr>
              <w:spacing w:after="0"/>
              <w:rPr>
                <w:sz w:val="1"/>
                <w:szCs w:val="1"/>
                <w:color w:val="auto"/>
              </w:rPr>
            </w:pPr>
          </w:p>
        </w:tc>
      </w:tr>
      <w:tr>
        <w:trPr>
          <w:trHeight w:val="21"/>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Planet Hollywood Resort &amp; Casino</w:t>
            </w: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Atlantic City</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Horseshoe Lake Charles</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Caesars Republic Scottsdale</w:t>
            </w:r>
          </w:p>
        </w:tc>
        <w:tc>
          <w:tcPr>
            <w:tcW w:w="0" w:type="dxa"/>
            <w:vAlign w:val="bottom"/>
          </w:tcPr>
          <w:p>
            <w:pPr>
              <w:spacing w:after="0"/>
              <w:rPr>
                <w:sz w:val="1"/>
                <w:szCs w:val="1"/>
                <w:color w:val="auto"/>
              </w:rPr>
            </w:pPr>
          </w:p>
        </w:tc>
      </w:tr>
      <w:tr>
        <w:trPr>
          <w:trHeight w:val="259"/>
        </w:trPr>
        <w:tc>
          <w:tcPr>
            <w:tcW w:w="2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Harrah’s Columbus Nebraska </w:t>
            </w:r>
            <w:r>
              <w:rPr>
                <w:rFonts w:ascii="Times New Roman" w:cs="Times New Roman" w:eastAsia="Times New Roman" w:hAnsi="Times New Roman"/>
                <w:sz w:val="21"/>
                <w:szCs w:val="21"/>
                <w:i w:val="1"/>
                <w:iCs w:val="1"/>
                <w:color w:val="auto"/>
                <w:vertAlign w:val="superscript"/>
              </w:rPr>
              <w:t>(b)</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Horseshoe St. Louis</w:t>
            </w:r>
          </w:p>
        </w:tc>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Southern Indiana</w:t>
            </w:r>
          </w:p>
        </w:tc>
        <w:tc>
          <w:tcPr>
            <w:tcW w:w="0" w:type="dxa"/>
            <w:vAlign w:val="bottom"/>
          </w:tcPr>
          <w:p>
            <w:pPr>
              <w:spacing w:after="0"/>
              <w:rPr>
                <w:sz w:val="1"/>
                <w:szCs w:val="1"/>
                <w:color w:val="auto"/>
              </w:rPr>
            </w:pPr>
          </w:p>
        </w:tc>
      </w:tr>
      <w:tr>
        <w:trPr>
          <w:trHeight w:val="254"/>
        </w:trPr>
        <w:tc>
          <w:tcPr>
            <w:tcW w:w="2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0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Harrah’s Council Bluffs</w:t>
            </w:r>
          </w:p>
        </w:tc>
        <w:tc>
          <w:tcPr>
            <w:tcW w:w="33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6"/>
                <w:szCs w:val="16"/>
                <w:color w:val="auto"/>
              </w:rPr>
              <w:t>Horseshoe Tunica</w:t>
            </w:r>
          </w:p>
        </w:tc>
        <w:tc>
          <w:tcPr>
            <w:tcW w:w="26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Harrah’s Northern California</w:t>
            </w:r>
          </w:p>
        </w:tc>
        <w:tc>
          <w:tcPr>
            <w:tcW w:w="0" w:type="dxa"/>
            <w:vAlign w:val="bottom"/>
          </w:tcPr>
          <w:p>
            <w:pPr>
              <w:spacing w:after="0"/>
              <w:rPr>
                <w:sz w:val="1"/>
                <w:szCs w:val="1"/>
                <w:color w:val="auto"/>
              </w:rPr>
            </w:pPr>
          </w:p>
        </w:tc>
      </w:tr>
      <w:tr>
        <w:trPr>
          <w:trHeight w:val="23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Gulf Coast</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Isle Casino Bettendorf</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Harrah’s Hoosier Park Racing &amp; Casino</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Isle of Capri Casino Boonville</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Joliet</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Isle of Capri Casino Lula</w:t>
            </w: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Lake Tahoe</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Isle Casino Waterloo</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Laughlin</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Lady Luck Casino - Black Hawk</w:t>
            </w: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Metropolis</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Silver Legacy Resort Casino</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North Kansas City</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Trop Casino Greenville</w:t>
            </w: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Philadelphia</w:t>
            </w:r>
          </w:p>
        </w:tc>
        <w:tc>
          <w:tcPr>
            <w:tcW w:w="33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Tropicana Atlantic City</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Pompano Beach</w:t>
            </w:r>
          </w:p>
        </w:tc>
        <w:tc>
          <w:tcPr>
            <w:tcW w:w="3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Tropicana Laughlin Hotel &amp; Casino</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Temporary gaming facility opened on May 15, 2023. The construction of the permanent facility of Caesars Virginia was complete and opened on December 17, 2024.</w:t>
      </w:r>
    </w:p>
    <w:p>
      <w:pPr>
        <w:spacing w:after="0" w:line="43" w:lineRule="exact"/>
        <w:rPr>
          <w:rFonts w:ascii="Times New Roman" w:cs="Times New Roman" w:eastAsia="Times New Roman" w:hAnsi="Times New Roman"/>
          <w:sz w:val="19"/>
          <w:szCs w:val="19"/>
          <w:i w:val="1"/>
          <w:iCs w:val="1"/>
          <w:color w:val="auto"/>
          <w:vertAlign w:val="superscript"/>
        </w:rPr>
      </w:pPr>
    </w:p>
    <w:p>
      <w:pPr>
        <w:ind w:left="340" w:right="20" w:hanging="332"/>
        <w:spacing w:after="0" w:line="278" w:lineRule="auto"/>
        <w:tabs>
          <w:tab w:leader="none" w:pos="327" w:val="left"/>
        </w:tabs>
        <w:numPr>
          <w:ilvl w:val="0"/>
          <w:numId w:val="4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Temporary gaming facility was open from June 12, 2023 through March 20, 2024, closing in anticipation of the permanent facility which opened on May 17, 2024, following weeks of construction disruption due to weather.</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On December 12, 2024, we sold the LINQ Promenade, which is an open-air dining, entertainment, and retail promenade next to The LINQ Hotel &amp; Casino (the “LINQ”). We continue to operate the High Roller, a 550-foot observation wheel, and the Fly LINQ Zipline attraction, located on the east side of the Las Vegas Strip next to the LINQ. The CAESARS FORUM is a 550,000 square feet conference center with 300,000 square feet of flexible meeting space, two of the largest pillarless ballrooms in the world and direct access to the LINQ. We also opened our first non-gaming hotel experience in the United States on March 6, 2024 at Caesars Republic Scottsdale featuring approximately 270 hotel rooms, approximately 20,000 square feet of event space and hotel amenities including, pools, bars, lounges, and celebrity partnered restaurants.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assesses segment performance by using Adjusted EBITDA, which is defined and reconciled to net income (loss) below.</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CODM uses Adjusted EBITDA during the annual budgeting process and evaluates budget-to-actual variances on a regular basis to make decisions about the allocation of operating and capital resources. Annual incentive awards have historically been based on the achievement of Adjusted EBITDA as a primary metric as the Company believes it most accurately reflects our results and represents a key metric in our industry.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operating data for the Company’s four reportable segments, in addition to Corporate and Other.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Las Vegas: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r>
      <w:tr>
        <w:trPr>
          <w:trHeight w:val="214"/>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Regional:</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Caesars Digital: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4"/>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Managed and Branded: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Corporate and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Certain Significant Expenses by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1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14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Gaming taxes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Labor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segment expenses </w:t>
            </w:r>
            <w:r>
              <w:rPr>
                <w:rFonts w:ascii="Times New Roman" w:cs="Times New Roman" w:eastAsia="Times New Roman" w:hAnsi="Times New Roman"/>
                <w:sz w:val="21"/>
                <w:szCs w:val="21"/>
                <w:i w:val="1"/>
                <w:iCs w:val="1"/>
                <w:color w:val="auto"/>
                <w:vertAlign w:val="superscript"/>
              </w:rPr>
              <w:t>(b)</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14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Gaming taxes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Labor expense </w:t>
            </w:r>
            <w:r>
              <w:rPr>
                <w:rFonts w:ascii="Times New Roman" w:cs="Times New Roman" w:eastAsia="Times New Roman" w:hAnsi="Times New Roman"/>
                <w:sz w:val="21"/>
                <w:szCs w:val="21"/>
                <w:i w:val="1"/>
                <w:iCs w:val="1"/>
                <w:color w:val="auto"/>
                <w:vertAlign w:val="superscript"/>
              </w:rPr>
              <w:t>(a)</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segment expenses </w:t>
            </w:r>
            <w:r>
              <w:rPr>
                <w:rFonts w:ascii="Times New Roman" w:cs="Times New Roman" w:eastAsia="Times New Roman" w:hAnsi="Times New Roman"/>
                <w:sz w:val="21"/>
                <w:szCs w:val="21"/>
                <w:i w:val="1"/>
                <w:iCs w:val="1"/>
                <w:color w:val="auto"/>
                <w:vertAlign w:val="superscript"/>
              </w:rPr>
              <w:t>(b)</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14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5,704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Gaming taxes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Labor expense </w:t>
            </w:r>
            <w:r>
              <w:rPr>
                <w:rFonts w:ascii="Times New Roman" w:cs="Times New Roman" w:eastAsia="Times New Roman" w:hAnsi="Times New Roman"/>
                <w:sz w:val="21"/>
                <w:szCs w:val="21"/>
                <w:i w:val="1"/>
                <w:iCs w:val="1"/>
                <w:color w:val="auto"/>
                <w:vertAlign w:val="superscript"/>
              </w:rPr>
              <w:t>(a)</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segment expenses </w:t>
            </w:r>
            <w:r>
              <w:rPr>
                <w:rFonts w:ascii="Times New Roman" w:cs="Times New Roman" w:eastAsia="Times New Roman" w:hAnsi="Times New Roman"/>
                <w:sz w:val="21"/>
                <w:szCs w:val="21"/>
                <w:i w:val="1"/>
                <w:iCs w:val="1"/>
                <w:color w:val="auto"/>
                <w:vertAlign w:val="superscript"/>
              </w:rPr>
              <w:t>(b)</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0" w:type="dxa"/>
            <w:vAlign w:val="bottom"/>
          </w:tcPr>
          <w:p>
            <w:pPr>
              <w:spacing w:after="0"/>
              <w:rPr>
                <w:sz w:val="1"/>
                <w:szCs w:val="1"/>
                <w:color w:val="auto"/>
              </w:rPr>
            </w:pPr>
          </w:p>
        </w:tc>
      </w:tr>
      <w:tr>
        <w:trPr>
          <w:trHeight w:val="21"/>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hanging="332"/>
        <w:spacing w:after="0" w:line="222" w:lineRule="auto"/>
        <w:tabs>
          <w:tab w:leader="none" w:pos="327" w:val="left"/>
        </w:tabs>
        <w:numPr>
          <w:ilvl w:val="0"/>
          <w:numId w:val="4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Labor expense for the Las Vegas segment includes $49 million and $65 million for the years ended December 31, 2023 and 2022, respectively, related to Rio-All Suite Hotel &amp; Casino which was divested at the end of the third quarter of 2023.</w:t>
      </w:r>
    </w:p>
    <w:p>
      <w:pPr>
        <w:spacing w:after="0" w:line="40"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4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‘Other segment expenses’ category for each of our reportable segments primarily includes:</w:t>
      </w:r>
    </w:p>
    <w:p>
      <w:pPr>
        <w:spacing w:after="0" w:line="66" w:lineRule="exact"/>
        <w:rPr>
          <w:rFonts w:ascii="Times New Roman" w:cs="Times New Roman" w:eastAsia="Times New Roman" w:hAnsi="Times New Roman"/>
          <w:sz w:val="9"/>
          <w:szCs w:val="9"/>
          <w:i w:val="1"/>
          <w:iCs w:val="1"/>
          <w:color w:val="auto"/>
        </w:rPr>
      </w:pPr>
    </w:p>
    <w:p>
      <w:pPr>
        <w:jc w:val="both"/>
        <w:ind w:left="660" w:hanging="328"/>
        <w:spacing w:after="0" w:line="281" w:lineRule="auto"/>
        <w:tabs>
          <w:tab w:leader="none" w:pos="656" w:val="left"/>
        </w:tabs>
        <w:numPr>
          <w:ilvl w:val="1"/>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Las Vegas and Regional Segments </w:t>
      </w:r>
      <w:r>
        <w:rPr>
          <w:rFonts w:ascii="Times New Roman" w:cs="Times New Roman" w:eastAsia="Times New Roman" w:hAnsi="Times New Roman"/>
          <w:sz w:val="14"/>
          <w:szCs w:val="14"/>
          <w:i w:val="1"/>
          <w:iCs w:val="1"/>
          <w:color w:val="auto"/>
        </w:rPr>
        <w:t>- Cost of sales associated with food, beverage and retail offerings; commission fees, talent fees and ticketing expenses associated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entertainment offerings; utility costs; costs of supplies; repairs and maintenance charges; professional fees; marketing and advertising expenses; software and licensing expenses; rental costs; and insurance expense.</w:t>
      </w:r>
    </w:p>
    <w:p>
      <w:pPr>
        <w:spacing w:after="0" w:line="1" w:lineRule="exact"/>
        <w:rPr>
          <w:rFonts w:ascii="Times New Roman" w:cs="Times New Roman" w:eastAsia="Times New Roman" w:hAnsi="Times New Roman"/>
          <w:sz w:val="14"/>
          <w:szCs w:val="14"/>
          <w:i w:val="1"/>
          <w:iCs w:val="1"/>
          <w:color w:val="auto"/>
        </w:rPr>
      </w:pPr>
    </w:p>
    <w:p>
      <w:pPr>
        <w:ind w:left="660" w:hanging="328"/>
        <w:spacing w:after="0" w:line="301" w:lineRule="auto"/>
        <w:tabs>
          <w:tab w:leader="none" w:pos="656" w:val="left"/>
        </w:tabs>
        <w:numPr>
          <w:ilvl w:val="1"/>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Caesars Digital </w:t>
      </w:r>
      <w:r>
        <w:rPr>
          <w:rFonts w:ascii="Times New Roman" w:cs="Times New Roman" w:eastAsia="Times New Roman" w:hAnsi="Times New Roman"/>
          <w:sz w:val="14"/>
          <w:szCs w:val="14"/>
          <w:i w:val="1"/>
          <w:iCs w:val="1"/>
          <w:color w:val="auto"/>
        </w:rPr>
        <w:t>- Labor costs directly associated with the operation and maintenance of the digital platforms; professional fees; marketing and advertising expenses; and software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licenses expenses.</w:t>
      </w:r>
    </w:p>
    <w:p>
      <w:pPr>
        <w:spacing w:after="0" w:line="1" w:lineRule="exact"/>
        <w:rPr>
          <w:rFonts w:ascii="Times New Roman" w:cs="Times New Roman" w:eastAsia="Times New Roman" w:hAnsi="Times New Roman"/>
          <w:sz w:val="14"/>
          <w:szCs w:val="14"/>
          <w:i w:val="1"/>
          <w:iCs w:val="1"/>
          <w:color w:val="auto"/>
        </w:rPr>
      </w:pPr>
    </w:p>
    <w:p>
      <w:pPr>
        <w:ind w:left="660" w:hanging="328"/>
        <w:spacing w:after="0"/>
        <w:tabs>
          <w:tab w:leader="none" w:pos="660" w:val="left"/>
        </w:tabs>
        <w:numPr>
          <w:ilvl w:val="1"/>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Managed and Branded </w:t>
      </w:r>
      <w:r>
        <w:rPr>
          <w:rFonts w:ascii="Times New Roman" w:cs="Times New Roman" w:eastAsia="Times New Roman" w:hAnsi="Times New Roman"/>
          <w:sz w:val="14"/>
          <w:szCs w:val="14"/>
          <w:i w:val="1"/>
          <w:iCs w:val="1"/>
          <w:color w:val="auto"/>
        </w:rPr>
        <w:t>- Reimbursable expenses which are primarily payroll costs associated with our managed properties.</w:t>
      </w:r>
    </w:p>
    <w:p>
      <w:pPr>
        <w:spacing w:after="0" w:line="68" w:lineRule="exact"/>
        <w:rPr>
          <w:rFonts w:ascii="Times New Roman" w:cs="Times New Roman" w:eastAsia="Times New Roman" w:hAnsi="Times New Roman"/>
          <w:sz w:val="14"/>
          <w:szCs w:val="14"/>
          <w:i w:val="1"/>
          <w:iCs w:val="1"/>
          <w:color w:val="auto"/>
        </w:rPr>
      </w:pPr>
    </w:p>
    <w:p>
      <w:pPr>
        <w:ind w:left="660" w:hanging="328"/>
        <w:spacing w:after="0"/>
        <w:tabs>
          <w:tab w:leader="none" w:pos="660" w:val="left"/>
        </w:tabs>
        <w:numPr>
          <w:ilvl w:val="1"/>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Corporate and Other </w:t>
      </w:r>
      <w:r>
        <w:rPr>
          <w:rFonts w:ascii="Times New Roman" w:cs="Times New Roman" w:eastAsia="Times New Roman" w:hAnsi="Times New Roman"/>
          <w:sz w:val="14"/>
          <w:szCs w:val="14"/>
          <w:i w:val="1"/>
          <w:iCs w:val="1"/>
          <w:color w:val="auto"/>
        </w:rPr>
        <w:t>- Unallocated corporate payroll and overhead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Attributable to Caesars to Adjusted EBITDA by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as a measure of the Company’s performance. Adjusted EBITDA is defined as revenues less certain operating expenses and is composed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40"/>
        </w:trPr>
        <w:tc>
          <w:tcPr>
            <w:tcW w:w="20" w:type="dxa"/>
            <w:vAlign w:val="bottom"/>
          </w:tcPr>
          <w:p>
            <w:pPr>
              <w:spacing w:after="0"/>
              <w:rPr>
                <w:sz w:val="20"/>
                <w:szCs w:val="20"/>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(Benefit) provision for income taxes </w:t>
            </w:r>
            <w:r>
              <w:rPr>
                <w:rFonts w:ascii="Times New Roman" w:cs="Times New Roman" w:eastAsia="Times New Roman" w:hAnsi="Times New Roman"/>
                <w:sz w:val="21"/>
                <w:szCs w:val="21"/>
                <w:i w:val="1"/>
                <w:iCs w:val="1"/>
                <w:color w:val="auto"/>
                <w:vertAlign w:val="superscript"/>
              </w:rPr>
              <w:t>(a)</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income </w:t>
            </w:r>
            <w:r>
              <w:rPr>
                <w:rFonts w:ascii="Times New Roman" w:cs="Times New Roman" w:eastAsia="Times New Roman" w:hAnsi="Times New Roman"/>
                <w:sz w:val="21"/>
                <w:szCs w:val="21"/>
                <w:i w:val="1"/>
                <w:iCs w:val="1"/>
                <w:color w:val="auto"/>
                <w:vertAlign w:val="superscript"/>
              </w:rPr>
              <w:t>(b)</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40"/>
        </w:trPr>
        <w:tc>
          <w:tcPr>
            <w:tcW w:w="20" w:type="dxa"/>
            <w:vAlign w:val="bottom"/>
          </w:tcPr>
          <w:p>
            <w:pPr>
              <w:spacing w:after="0"/>
              <w:rPr>
                <w:sz w:val="20"/>
                <w:szCs w:val="20"/>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Impairment charges </w:t>
            </w:r>
            <w:r>
              <w:rPr>
                <w:rFonts w:ascii="Times New Roman" w:cs="Times New Roman" w:eastAsia="Times New Roman" w:hAnsi="Times New Roman"/>
                <w:sz w:val="21"/>
                <w:szCs w:val="21"/>
                <w:i w:val="1"/>
                <w:iCs w:val="1"/>
                <w:color w:val="auto"/>
                <w:vertAlign w:val="superscript"/>
              </w:rPr>
              <w:t>(c)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2"/>
        </w:trPr>
        <w:tc>
          <w:tcPr>
            <w:tcW w:w="2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by Segment: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r>
      <w:tr>
        <w:trPr>
          <w:trHeight w:val="213"/>
        </w:trPr>
        <w:tc>
          <w:tcPr>
            <w:tcW w:w="2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3"/>
        </w:trPr>
        <w:tc>
          <w:tcPr>
            <w:tcW w:w="2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and 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Benefit for income taxes for the year ended December 31, 2023 includes the release of $940 million of valuation allowance against deferred tax assets.</w:t>
      </w:r>
    </w:p>
    <w:p>
      <w:pPr>
        <w:spacing w:after="0" w:line="43"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4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Other income for the year ended December 31, 2024 primarily represents a change in estimate of our disputed claims liability.</w:t>
      </w:r>
    </w:p>
    <w:p>
      <w:pPr>
        <w:spacing w:after="0" w:line="50" w:lineRule="exact"/>
        <w:rPr>
          <w:rFonts w:ascii="Times New Roman" w:cs="Times New Roman" w:eastAsia="Times New Roman" w:hAnsi="Times New Roman"/>
          <w:sz w:val="9"/>
          <w:szCs w:val="9"/>
          <w:i w:val="1"/>
          <w:iCs w:val="1"/>
          <w:color w:val="auto"/>
        </w:rPr>
      </w:pPr>
    </w:p>
    <w:p>
      <w:pPr>
        <w:ind w:left="340" w:hanging="332"/>
        <w:spacing w:after="0" w:line="299" w:lineRule="auto"/>
        <w:tabs>
          <w:tab w:leader="none" w:pos="336" w:val="left"/>
        </w:tabs>
        <w:numPr>
          <w:ilvl w:val="0"/>
          <w:numId w:val="45"/>
        </w:numPr>
        <w:rPr>
          <w:rFonts w:ascii="Times New Roman" w:cs="Times New Roman" w:eastAsia="Times New Roman" w:hAnsi="Times New Roman"/>
          <w:sz w:val="9"/>
          <w:szCs w:val="9"/>
          <w:i w:val="1"/>
          <w:iCs w:val="1"/>
          <w:color w:val="212529"/>
        </w:rPr>
      </w:pPr>
      <w:r>
        <w:rPr>
          <w:rFonts w:ascii="Times New Roman" w:cs="Times New Roman" w:eastAsia="Times New Roman" w:hAnsi="Times New Roman"/>
          <w:sz w:val="14"/>
          <w:szCs w:val="14"/>
          <w:i w:val="1"/>
          <w:iCs w:val="1"/>
          <w:color w:val="auto"/>
        </w:rPr>
        <w:t>Impairment charges for the year ended December 31, 2024 include impairments within our Regional segment as a result of a decrease in projected future cash flows at certain properties primarily due to localized competition and an impairment to a trademark due to the performance of our smallest brand in the Las Vegas segment.</w:t>
      </w:r>
    </w:p>
    <w:p>
      <w:pPr>
        <w:spacing w:after="0" w:line="3" w:lineRule="exact"/>
        <w:rPr>
          <w:rFonts w:ascii="Times New Roman" w:cs="Times New Roman" w:eastAsia="Times New Roman" w:hAnsi="Times New Roman"/>
          <w:sz w:val="9"/>
          <w:szCs w:val="9"/>
          <w:i w:val="1"/>
          <w:iCs w:val="1"/>
          <w:color w:val="212529"/>
        </w:rPr>
      </w:pPr>
    </w:p>
    <w:p>
      <w:pPr>
        <w:jc w:val="both"/>
        <w:ind w:left="340" w:hanging="332"/>
        <w:spacing w:after="0" w:line="234" w:lineRule="auto"/>
        <w:tabs>
          <w:tab w:leader="none" w:pos="327" w:val="left"/>
        </w:tabs>
        <w:numPr>
          <w:ilvl w:val="0"/>
          <w:numId w:val="45"/>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Transaction costs and other, net primarily includes non-cash losses on the write down and disposal of assets, gains from the sales of the WSOP trademark and the LINQ Promenade, insurance proceeds from property damage, professional services for transaction and integration costs, various contract exit or termination costs, pre-opening costs in connection with new property openings and expansion projects at existing properties, and non-cash changes in equity method investments.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 Net - By Segment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40"/>
        </w:trPr>
        <w:tc>
          <w:tcPr>
            <w:tcW w:w="2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Regional</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46"/>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Caesars Digital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40"/>
        </w:trPr>
        <w:tc>
          <w:tcPr>
            <w:tcW w:w="20" w:type="dxa"/>
            <w:vAlign w:val="bottom"/>
            <w:tcBorders>
              <w:bottom w:val="single" w:sz="8" w:color="CCEEFF"/>
            </w:tcBorders>
          </w:tcPr>
          <w:p>
            <w:pPr>
              <w:spacing w:after="0"/>
              <w:rPr>
                <w:sz w:val="20"/>
                <w:szCs w:val="20"/>
                <w:color w:val="auto"/>
              </w:rPr>
            </w:pPr>
          </w:p>
        </w:tc>
        <w:tc>
          <w:tcPr>
            <w:tcW w:w="5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Total Assets - By Segment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24,230</w:t>
            </w:r>
          </w:p>
        </w:tc>
      </w:tr>
      <w:tr>
        <w:trPr>
          <w:trHeight w:val="240"/>
        </w:trPr>
        <w:tc>
          <w:tcPr>
            <w:tcW w:w="20" w:type="dxa"/>
            <w:vAlign w:val="bottom"/>
          </w:tcPr>
          <w:p>
            <w:pPr>
              <w:spacing w:after="0"/>
              <w:rPr>
                <w:sz w:val="20"/>
                <w:szCs w:val="20"/>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40"/>
        </w:trPr>
        <w:tc>
          <w:tcPr>
            <w:tcW w:w="20" w:type="dxa"/>
            <w:vAlign w:val="bottom"/>
          </w:tcPr>
          <w:p>
            <w:pPr>
              <w:spacing w:after="0"/>
              <w:rPr>
                <w:sz w:val="20"/>
                <w:szCs w:val="20"/>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Managed and Branded</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33,366</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eliminations of transactions among segments, to reconcile to the Company’s consolidated results.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BF2115"/>
        </w:rPr>
        <w:t>Item 9.</w:t>
      </w:r>
      <w:r>
        <w:rPr>
          <w:sz w:val="20"/>
          <w:szCs w:val="20"/>
          <w:color w:val="auto"/>
        </w:rPr>
        <w:tab/>
      </w:r>
      <w:r>
        <w:rPr>
          <w:rFonts w:ascii="Times New Roman" w:cs="Times New Roman" w:eastAsia="Times New Roman" w:hAnsi="Times New Roman"/>
          <w:sz w:val="21"/>
          <w:szCs w:val="21"/>
          <w:b w:val="1"/>
          <w:bCs w:val="1"/>
          <w:color w:val="BF2115"/>
        </w:rPr>
        <w:t>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9A.</w:t>
      </w:r>
      <w:r>
        <w:rPr>
          <w:sz w:val="20"/>
          <w:szCs w:val="20"/>
          <w:color w:val="auto"/>
        </w:rPr>
        <w:tab/>
      </w:r>
      <w:r>
        <w:rPr>
          <w:rFonts w:ascii="Times New Roman" w:cs="Times New Roman" w:eastAsia="Times New Roman" w:hAnsi="Times New Roman"/>
          <w:sz w:val="21"/>
          <w:szCs w:val="21"/>
          <w:b w:val="1"/>
          <w:bCs w:val="1"/>
          <w:color w:val="BF2115"/>
        </w:rPr>
        <w:t>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the effectiveness of our disclosure controls and procedures (as defined in Rules 13a-15(e) and 15d-15(e) promulgated under the Exchange Act) as of December 31, 2024. Based on these evaluations, our Chief Executive Officer and Chief Financial Officer concluded that our disclosure controls and procedures required by Rules 13a-15(e) and 15d-15(e) were effective as of December 31, 2024,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or 15d-15(f) promulgated under the Exchange Act. This system is designed to provide reasonable assurance regarding the reliability of financial reporting and the preparation of consolidated financial statements for external purposes in accordance with US GAAP.</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Organizations of the Treadway Commission. Based on their evaluation and assessment, they concluded that, as of December 31, 2024, our internal control over financial reporting was effective based on those criteria.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our internal control over financial reporting as of December 31, 2024, which follows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changes in our internal control over financial reporting that have materially affected, or are reasonably likely to materially affect, our internal control over financial reporting.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1" w:name="page102"/>
    <w:bookmarkEnd w:id="101"/>
    <w:p>
      <w:pPr>
        <w:ind w:right="2540" w:firstLine="2535"/>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Caesars Entertainment,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Caesars Entertainment,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25, 2025</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2" w:name="page103"/>
    <w:bookmarkEnd w:id="102"/>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9B.</w:t>
      </w:r>
      <w:r>
        <w:rPr>
          <w:sz w:val="20"/>
          <w:szCs w:val="20"/>
          <w:color w:val="auto"/>
        </w:rPr>
        <w:tab/>
      </w:r>
      <w:r>
        <w:rPr>
          <w:rFonts w:ascii="Times New Roman" w:cs="Times New Roman" w:eastAsia="Times New Roman" w:hAnsi="Times New Roman"/>
          <w:sz w:val="21"/>
          <w:szCs w:val="21"/>
          <w:b w:val="1"/>
          <w:bCs w:val="1"/>
          <w:color w:val="BF2115"/>
        </w:rPr>
        <w:t>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33333"/>
        </w:rPr>
        <w:t>For the three months ended December 31, 2024, none of our directors or officers (as defined in Rule 16a-1(f) of the Exchange Act) adopted, modified or terminated a “Rule 10b5-1 trading arrangement” or “non-Rule 10b5-1 trading arrangement,” as defined in Item 408 of Regulation S-K.</w:t>
      </w:r>
    </w:p>
    <w:p>
      <w:pPr>
        <w:spacing w:after="0" w:line="1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BF2115"/>
        </w:rPr>
        <w:t>Item 9C.</w:t>
      </w:r>
      <w:r>
        <w:rPr>
          <w:sz w:val="20"/>
          <w:szCs w:val="20"/>
          <w:color w:val="auto"/>
        </w:rPr>
        <w:tab/>
      </w:r>
      <w:r>
        <w:rPr>
          <w:rFonts w:ascii="Times New Roman" w:cs="Times New Roman" w:eastAsia="Times New Roman" w:hAnsi="Times New Roman"/>
          <w:sz w:val="21"/>
          <w:szCs w:val="21"/>
          <w:b w:val="1"/>
          <w:bCs w:val="1"/>
          <w:color w:val="BF2115"/>
        </w:rPr>
        <w:t>Disclosure Regarding Foreign Jurisdictions that Prevent Inspections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03" w:name="page104"/>
    <w:bookmarkEnd w:id="103"/>
    <w:p>
      <w:pPr>
        <w:ind w:left="5180"/>
        <w:spacing w:after="0"/>
        <w:rPr>
          <w:sz w:val="20"/>
          <w:szCs w:val="20"/>
          <w:color w:val="auto"/>
        </w:rPr>
      </w:pPr>
      <w:r>
        <w:rPr>
          <w:rFonts w:ascii="Times New Roman" w:cs="Times New Roman" w:eastAsia="Times New Roman" w:hAnsi="Times New Roman"/>
          <w:sz w:val="22"/>
          <w:szCs w:val="22"/>
          <w:b w:val="1"/>
          <w:bCs w:val="1"/>
          <w:color w:val="BF2115"/>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BF2115"/>
        </w:rPr>
        <w:t>Item 10.</w:t>
      </w:r>
      <w:r>
        <w:rPr>
          <w:sz w:val="20"/>
          <w:szCs w:val="20"/>
          <w:color w:val="auto"/>
        </w:rPr>
        <w:tab/>
      </w:r>
      <w:r>
        <w:rPr>
          <w:rFonts w:ascii="Times New Roman" w:cs="Times New Roman" w:eastAsia="Times New Roman" w:hAnsi="Times New Roman"/>
          <w:sz w:val="21"/>
          <w:szCs w:val="21"/>
          <w:b w:val="1"/>
          <w:bCs w:val="1"/>
          <w:color w:val="BF2115"/>
        </w:rPr>
        <w:t>Directors, Executive Officers and Corporate Governance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our definitive Proxy Statement for our Annual Meeting of Stockholders (our “Proxy Statement”) to be filed with the Securities and Exchange Commission no later than April 30, 2025, pursuant to Regulation 14A under the Securities Act.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http://www.caesars.com/corporate (accessible through the “Governance” caption of the Investors page) and a printed copy will be delivered on request by writing to the Corporate Secretary at Caesars Entertainment, Inc., c/o Corporate Secretary, 100 West Liberty Street, 12th Floor, Reno, NV 89501. We intend to satisfy the disclosure requirement regarding certain amendments to, or waivers from, provisions of its code of business conduct and ethics by posting such information on our website.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our directors, officers, employees and other individuals associated with us. We believe that our insider trading policy is reasonably designed to promote compliance with insider trading laws, rules and regulations and applicable listing standards. A copy of our insider trading policy is filed as Exhibit 19.1 to this Annual Report on Form 10-K.</w:t>
      </w:r>
    </w:p>
    <w:p>
      <w:pPr>
        <w:spacing w:after="0" w:line="1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BF2115"/>
        </w:rPr>
        <w:t>Item 11.</w:t>
      </w:r>
      <w:r>
        <w:rPr>
          <w:sz w:val="20"/>
          <w:szCs w:val="20"/>
          <w:color w:val="auto"/>
        </w:rPr>
        <w:tab/>
      </w:r>
      <w:r>
        <w:rPr>
          <w:rFonts w:ascii="Times New Roman" w:cs="Times New Roman" w:eastAsia="Times New Roman" w:hAnsi="Times New Roman"/>
          <w:sz w:val="21"/>
          <w:szCs w:val="21"/>
          <w:b w:val="1"/>
          <w:bCs w:val="1"/>
          <w:color w:val="BF2115"/>
        </w:rPr>
        <w:t>Executive Compensation</w:t>
      </w:r>
    </w:p>
    <w:p>
      <w:pPr>
        <w:spacing w:after="0" w:line="1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our Proxy Statement, to be filed with the Securities and Exchange Commission no later than April 30, 2025, pursuant to Regulation 14A under the Securities Act.</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BF2115"/>
        </w:rPr>
        <w:t>Item 12.</w:t>
      </w:r>
      <w:r>
        <w:rPr>
          <w:sz w:val="20"/>
          <w:szCs w:val="20"/>
          <w:color w:val="auto"/>
        </w:rPr>
        <w:tab/>
      </w:r>
      <w:r>
        <w:rPr>
          <w:rFonts w:ascii="Times New Roman" w:cs="Times New Roman" w:eastAsia="Times New Roman" w:hAnsi="Times New Roman"/>
          <w:sz w:val="21"/>
          <w:szCs w:val="21"/>
          <w:b w:val="1"/>
          <w:bCs w:val="1"/>
          <w:color w:val="BF2115"/>
        </w:rPr>
        <w:t>Security Ownership of Certain Beneficial Owners and Management and Related Stockholder Matters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is hereby incorporated by reference to our Proxy Statement, to be filed with the Securities and Exchange Commission no later than April 30, 2025, pursuant to Regulation 14A under the Securities Act,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maintain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recorded in the period in which they occur.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for a description of our stock-based compensation plans.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with respect to compensation plans under which equity securities that we have authorized for issuance.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future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issued</w:t>
            </w: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upon exercise of</w:t>
            </w:r>
          </w:p>
        </w:tc>
        <w:tc>
          <w:tcPr>
            <w:tcW w:w="180" w:type="dxa"/>
            <w:vAlign w:val="bottom"/>
          </w:tcPr>
          <w:p>
            <w:pPr>
              <w:spacing w:after="0"/>
              <w:rPr>
                <w:sz w:val="14"/>
                <w:szCs w:val="14"/>
                <w:color w:val="auto"/>
              </w:rPr>
            </w:pPr>
          </w:p>
        </w:tc>
        <w:tc>
          <w:tcPr>
            <w:tcW w:w="16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62"/>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8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w:t>
            </w: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20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warrants and rights </w:t>
            </w:r>
            <w:r>
              <w:rPr>
                <w:rFonts w:ascii="Times New Roman" w:cs="Times New Roman" w:eastAsia="Times New Roman" w:hAnsi="Times New Roman"/>
                <w:sz w:val="21"/>
                <w:szCs w:val="21"/>
                <w:b w:val="1"/>
                <w:bCs w:val="1"/>
                <w:i w:val="1"/>
                <w:iCs w:val="1"/>
                <w:color w:val="auto"/>
                <w:w w:val="98"/>
                <w:vertAlign w:val="superscript"/>
              </w:rPr>
              <w:t>(1)</w:t>
            </w:r>
          </w:p>
        </w:tc>
        <w:tc>
          <w:tcPr>
            <w:tcW w:w="1820" w:type="dxa"/>
            <w:vAlign w:val="bottom"/>
            <w:gridSpan w:val="3"/>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warrants and rights </w:t>
            </w:r>
            <w:r>
              <w:rPr>
                <w:rFonts w:ascii="Times New Roman" w:cs="Times New Roman" w:eastAsia="Times New Roman" w:hAnsi="Times New Roman"/>
                <w:sz w:val="21"/>
                <w:szCs w:val="21"/>
                <w:b w:val="1"/>
                <w:bCs w:val="1"/>
                <w:i w:val="1"/>
                <w:iCs w:val="1"/>
                <w:color w:val="auto"/>
                <w:w w:val="98"/>
                <w:vertAlign w:val="superscript"/>
              </w:rPr>
              <w:t>(2)</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190"/>
        </w:trPr>
        <w:tc>
          <w:tcPr>
            <w:tcW w:w="5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2"/>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10,085,318</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5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unvested RSUs, PSUs, and MSUs only, there were no outstanding options as of December 31, 2024.</w:t>
      </w:r>
    </w:p>
    <w:p>
      <w:pPr>
        <w:spacing w:after="0" w:line="40" w:lineRule="exact"/>
        <w:rPr>
          <w:rFonts w:ascii="Times New Roman" w:cs="Times New Roman" w:eastAsia="Times New Roman" w:hAnsi="Times New Roman"/>
          <w:sz w:val="9"/>
          <w:szCs w:val="9"/>
          <w:i w:val="1"/>
          <w:iCs w:val="1"/>
          <w:color w:val="auto"/>
        </w:rPr>
      </w:pPr>
    </w:p>
    <w:p>
      <w:pPr>
        <w:ind w:left="320" w:hanging="312"/>
        <w:spacing w:after="0"/>
        <w:tabs>
          <w:tab w:leader="none" w:pos="320" w:val="left"/>
        </w:tabs>
        <w:numPr>
          <w:ilvl w:val="0"/>
          <w:numId w:val="4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RSUs, PSUs, and MSUs do not have an exercise price.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BF2115"/>
        </w:rPr>
        <w:t>Item 13.</w:t>
      </w:r>
      <w:r>
        <w:rPr>
          <w:sz w:val="20"/>
          <w:szCs w:val="20"/>
          <w:color w:val="auto"/>
        </w:rPr>
        <w:tab/>
      </w:r>
      <w:r>
        <w:rPr>
          <w:rFonts w:ascii="Times New Roman" w:cs="Times New Roman" w:eastAsia="Times New Roman" w:hAnsi="Times New Roman"/>
          <w:sz w:val="21"/>
          <w:szCs w:val="21"/>
          <w:b w:val="1"/>
          <w:bCs w:val="1"/>
          <w:color w:val="BF2115"/>
        </w:rPr>
        <w:t>Certain Relationships and Related Transactions, and Director Independence</w:t>
      </w:r>
    </w:p>
    <w:p>
      <w:pPr>
        <w:spacing w:after="0" w:line="1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our Proxy Statement, to be filed with the Securities and Exchange Commission no later than April 30, 2025, pursuant to Regulation 14A under the Securities 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4" w:name="page105"/>
    <w:bookmarkEnd w:id="104"/>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BF2115"/>
        </w:rPr>
        <w:t>Item 14.</w:t>
      </w:r>
      <w:r>
        <w:rPr>
          <w:sz w:val="20"/>
          <w:szCs w:val="20"/>
          <w:color w:val="auto"/>
        </w:rPr>
        <w:tab/>
      </w:r>
      <w:r>
        <w:rPr>
          <w:rFonts w:ascii="Times New Roman" w:cs="Times New Roman" w:eastAsia="Times New Roman" w:hAnsi="Times New Roman"/>
          <w:sz w:val="21"/>
          <w:szCs w:val="21"/>
          <w:b w:val="1"/>
          <w:bCs w:val="1"/>
          <w:color w:val="BF2115"/>
        </w:rPr>
        <w:t>Principal Accounting Fees and Services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about aggregate fees billed to us by our principal accountant, Deloitte &amp; Touche LLP (PCAOB ID No. 34) is incorporated herein by reference to our Proxy Statement, to be filed with the Securities and Exchange Commission no later than April 30, 2025, pursuant to Regulation 14A under the Securities Act.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5" w:name="page106"/>
    <w:bookmarkEnd w:id="105"/>
    <w:p>
      <w:pPr>
        <w:ind w:left="5200"/>
        <w:spacing w:after="0"/>
        <w:rPr>
          <w:sz w:val="20"/>
          <w:szCs w:val="20"/>
          <w:color w:val="auto"/>
        </w:rPr>
      </w:pPr>
      <w:r>
        <w:rPr>
          <w:rFonts w:ascii="Times New Roman" w:cs="Times New Roman" w:eastAsia="Times New Roman" w:hAnsi="Times New Roman"/>
          <w:sz w:val="22"/>
          <w:szCs w:val="22"/>
          <w:b w:val="1"/>
          <w:bCs w:val="1"/>
          <w:color w:val="BF2115"/>
        </w:rPr>
        <w:t>PART IV</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BF2115"/>
        </w:rPr>
        <w:t>Item 15.</w:t>
      </w:r>
      <w:r>
        <w:rPr>
          <w:sz w:val="20"/>
          <w:szCs w:val="20"/>
          <w:color w:val="auto"/>
        </w:rPr>
        <w:tab/>
      </w:r>
      <w:r>
        <w:rPr>
          <w:rFonts w:ascii="Times New Roman" w:cs="Times New Roman" w:eastAsia="Times New Roman" w:hAnsi="Times New Roman"/>
          <w:sz w:val="21"/>
          <w:szCs w:val="21"/>
          <w:b w:val="1"/>
          <w:bCs w:val="1"/>
          <w:color w:val="BF2115"/>
        </w:rPr>
        <w:t>Exhibits and Financial Statement Schedules</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Included in Part II (</w:t>
      </w:r>
      <w:r>
        <w:rPr>
          <w:rFonts w:ascii="Times New Roman" w:cs="Times New Roman" w:eastAsia="Times New Roman" w:hAnsi="Times New Roman"/>
          <w:sz w:val="16"/>
          <w:szCs w:val="16"/>
          <w:color w:val="0000FF"/>
        </w:rPr>
        <w:t>Item 8</w:t>
      </w:r>
      <w:r>
        <w:rPr>
          <w:rFonts w:ascii="Times New Roman" w:cs="Times New Roman" w:eastAsia="Times New Roman" w:hAnsi="Times New Roman"/>
          <w:sz w:val="16"/>
          <w:szCs w:val="16"/>
          <w:color w:val="auto"/>
        </w:rPr>
        <w:t>) of this Annual Report on Form 10-K:</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Consolidated Balance Sheets as of December 31, 2024 and 2023</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Consolidated Statements of Comprehensive Income (Loss) for the Years Ended December 31, 2024, 2023 and 2022</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Consolidated Statements of Stockholders’ Equity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2024, 2023 and 2022</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line="245" w:lineRule="auto"/>
        <w:rPr>
          <w:sz w:val="20"/>
          <w:szCs w:val="20"/>
          <w:color w:val="auto"/>
        </w:rPr>
      </w:pPr>
      <w:r>
        <w:rPr>
          <w:rFonts w:ascii="Times New Roman" w:cs="Times New Roman" w:eastAsia="Times New Roman" w:hAnsi="Times New Roman"/>
          <w:sz w:val="16"/>
          <w:szCs w:val="16"/>
          <w:color w:val="auto"/>
        </w:rPr>
        <w:t>We have omitted schedules other than the ones listed above because they are not required or are not applicable, or the required information is shown in the financial statements or notes to the financial statements.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(a)(ii)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053" w:right="879" w:bottom="1440" w:gutter="0" w:footer="0" w:header="0"/>
        </w:sectPr>
      </w:pPr>
    </w:p>
    <w:bookmarkStart w:id="106" w:name="page107"/>
    <w:bookmarkEnd w:id="106"/>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40"/>
        <w:spacing w:after="0"/>
        <w:tabs>
          <w:tab w:leader="none" w:pos="4100" w:val="left"/>
          <w:tab w:leader="none" w:pos="94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54" w:right="439" w:bottom="1440" w:gutter="0" w:footer="0" w:header="0"/>
        </w:sectPr>
      </w:pPr>
    </w:p>
    <w:p>
      <w:pPr>
        <w:spacing w:after="0" w:line="105" w:lineRule="exact"/>
        <w:rPr>
          <w:sz w:val="20"/>
          <w:szCs w:val="20"/>
          <w:color w:val="auto"/>
        </w:rPr>
      </w:pPr>
    </w:p>
    <w:p>
      <w:pPr>
        <w:jc w:val="both"/>
        <w:ind w:left="900" w:hanging="604"/>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2.1</w:t>
      </w:r>
      <w:r>
        <w:rPr>
          <w:sz w:val="20"/>
          <w:szCs w:val="20"/>
          <w:color w:val="auto"/>
        </w:rPr>
        <w:tab/>
      </w:r>
      <w:hyperlink r:id="rId129">
        <w:r>
          <w:rPr>
            <w:rFonts w:ascii="Times New Roman" w:cs="Times New Roman" w:eastAsia="Times New Roman" w:hAnsi="Times New Roman"/>
            <w:sz w:val="16"/>
            <w:szCs w:val="16"/>
            <w:u w:val="single" w:color="auto"/>
            <w:color w:val="0000FF"/>
          </w:rPr>
          <w:t>Agreement and Plan of Merger, dated as of June 24, 2019, by and among Caesars Entertainment Corporation, Eldorado</w:t>
        </w:r>
      </w:hyperlink>
      <w:r>
        <w:rPr>
          <w:rFonts w:ascii="Times New Roman" w:cs="Times New Roman" w:eastAsia="Times New Roman" w:hAnsi="Times New Roman"/>
          <w:sz w:val="16"/>
          <w:szCs w:val="16"/>
          <w:u w:val="single" w:color="auto"/>
          <w:color w:val="0000FF"/>
        </w:rPr>
        <w:t xml:space="preserve"> </w:t>
      </w:r>
      <w:hyperlink r:id="rId129">
        <w:r>
          <w:rPr>
            <w:rFonts w:ascii="Times New Roman" w:cs="Times New Roman" w:eastAsia="Times New Roman" w:hAnsi="Times New Roman"/>
            <w:sz w:val="16"/>
            <w:szCs w:val="16"/>
            <w:u w:val="single" w:color="auto"/>
            <w:color w:val="0000FF"/>
          </w:rPr>
          <w:t>Resorts, Inc. and Colt Merger Sub, Inc.</w:t>
        </w:r>
      </w:hyperlink>
    </w:p>
    <w:p>
      <w:pPr>
        <w:spacing w:after="0" w:line="70" w:lineRule="exact"/>
        <w:rPr>
          <w:sz w:val="20"/>
          <w:szCs w:val="20"/>
          <w:color w:val="auto"/>
        </w:rPr>
      </w:pPr>
    </w:p>
    <w:p>
      <w:pPr>
        <w:jc w:val="both"/>
        <w:ind w:left="900" w:hanging="604"/>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2.2</w:t>
      </w:r>
      <w:r>
        <w:rPr>
          <w:sz w:val="20"/>
          <w:szCs w:val="20"/>
          <w:color w:val="auto"/>
        </w:rPr>
        <w:tab/>
      </w:r>
      <w:hyperlink r:id="rId130">
        <w:r>
          <w:rPr>
            <w:rFonts w:ascii="Times New Roman" w:cs="Times New Roman" w:eastAsia="Times New Roman" w:hAnsi="Times New Roman"/>
            <w:sz w:val="16"/>
            <w:szCs w:val="16"/>
            <w:u w:val="single" w:color="auto"/>
            <w:color w:val="0000FF"/>
          </w:rPr>
          <w:t>Amendment No. 1 to Agreement and Plan of Merger, dated as of August 15, 2019, by and among Caesars</w:t>
        </w:r>
      </w:hyperlink>
      <w:r>
        <w:rPr>
          <w:rFonts w:ascii="Times New Roman" w:cs="Times New Roman" w:eastAsia="Times New Roman" w:hAnsi="Times New Roman"/>
          <w:sz w:val="16"/>
          <w:szCs w:val="16"/>
          <w:u w:val="single" w:color="auto"/>
          <w:color w:val="0000FF"/>
        </w:rPr>
        <w:t xml:space="preserve"> </w:t>
      </w:r>
      <w:hyperlink r:id="rId130">
        <w:r>
          <w:rPr>
            <w:rFonts w:ascii="Times New Roman" w:cs="Times New Roman" w:eastAsia="Times New Roman" w:hAnsi="Times New Roman"/>
            <w:sz w:val="16"/>
            <w:szCs w:val="16"/>
            <w:u w:val="single" w:color="auto"/>
            <w:color w:val="0000FF"/>
          </w:rPr>
          <w:t>Entertainment Corporation, Eldorado Resorts, Inc. and Colt Merger Sub, Inc.</w:t>
        </w:r>
      </w:hyperlink>
    </w:p>
    <w:p>
      <w:pPr>
        <w:spacing w:after="0" w:line="70" w:lineRule="exact"/>
        <w:rPr>
          <w:sz w:val="20"/>
          <w:szCs w:val="20"/>
          <w:color w:val="auto"/>
        </w:rPr>
      </w:pPr>
    </w:p>
    <w:p>
      <w:pPr>
        <w:ind w:left="30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3.1</w:t>
      </w:r>
      <w:r>
        <w:rPr>
          <w:sz w:val="20"/>
          <w:szCs w:val="20"/>
          <w:color w:val="auto"/>
        </w:rPr>
        <w:tab/>
      </w:r>
      <w:hyperlink r:id="rId131">
        <w:r>
          <w:rPr>
            <w:rFonts w:ascii="Times New Roman" w:cs="Times New Roman" w:eastAsia="Times New Roman" w:hAnsi="Times New Roman"/>
            <w:sz w:val="16"/>
            <w:szCs w:val="16"/>
            <w:u w:val="single" w:color="auto"/>
            <w:color w:val="0000FF"/>
          </w:rPr>
          <w:t>Amended and Restated Certificate of Incorporation of Caesars Entertainment, Inc.</w:t>
        </w:r>
      </w:hyperlink>
    </w:p>
    <w:p>
      <w:pPr>
        <w:spacing w:after="0" w:line="316" w:lineRule="exact"/>
        <w:rPr>
          <w:sz w:val="20"/>
          <w:szCs w:val="20"/>
          <w:color w:val="auto"/>
        </w:rPr>
      </w:pPr>
    </w:p>
    <w:p>
      <w:pPr>
        <w:ind w:left="30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3.2</w:t>
      </w:r>
      <w:r>
        <w:rPr>
          <w:sz w:val="20"/>
          <w:szCs w:val="20"/>
          <w:color w:val="auto"/>
        </w:rPr>
        <w:tab/>
      </w:r>
      <w:hyperlink r:id="rId132">
        <w:r>
          <w:rPr>
            <w:rFonts w:ascii="Times New Roman" w:cs="Times New Roman" w:eastAsia="Times New Roman" w:hAnsi="Times New Roman"/>
            <w:sz w:val="16"/>
            <w:szCs w:val="16"/>
            <w:u w:val="single" w:color="auto"/>
            <w:color w:val="0000FF"/>
          </w:rPr>
          <w:t>Amended and Restated Bylaws of Caesars Entertainment, Inc.</w:t>
        </w:r>
      </w:hyperlink>
    </w:p>
    <w:p>
      <w:pPr>
        <w:spacing w:after="0" w:line="316"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u w:val="single" w:color="auto"/>
          <w:color w:val="0000FF"/>
        </w:rPr>
        <w:t>Description of Capital Stock</w:t>
      </w:r>
    </w:p>
    <w:p>
      <w:pPr>
        <w:spacing w:after="0" w:line="86" w:lineRule="exact"/>
        <w:rPr>
          <w:sz w:val="20"/>
          <w:szCs w:val="20"/>
          <w:color w:val="auto"/>
        </w:rPr>
      </w:pPr>
    </w:p>
    <w:p>
      <w:pPr>
        <w:jc w:val="both"/>
        <w:ind w:left="900" w:hanging="604"/>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w:t>
      </w:r>
      <w:r>
        <w:rPr>
          <w:sz w:val="20"/>
          <w:szCs w:val="20"/>
          <w:color w:val="auto"/>
        </w:rPr>
        <w:tab/>
      </w:r>
      <w:hyperlink r:id="rId133">
        <w:r>
          <w:rPr>
            <w:rFonts w:ascii="Times New Roman" w:cs="Times New Roman" w:eastAsia="Times New Roman" w:hAnsi="Times New Roman"/>
            <w:sz w:val="16"/>
            <w:szCs w:val="16"/>
            <w:u w:val="single" w:color="auto"/>
            <w:color w:val="0000FF"/>
          </w:rPr>
          <w:t>Indenture (8.125% CEI Senior Notes due 2027) dated as of July 6, 2020, by and between Colt Merger Sub, Inc. and</w:t>
        </w:r>
      </w:hyperlink>
      <w:r>
        <w:rPr>
          <w:rFonts w:ascii="Times New Roman" w:cs="Times New Roman" w:eastAsia="Times New Roman" w:hAnsi="Times New Roman"/>
          <w:sz w:val="16"/>
          <w:szCs w:val="16"/>
          <w:u w:val="single" w:color="auto"/>
          <w:color w:val="0000FF"/>
        </w:rPr>
        <w:t xml:space="preserve"> </w:t>
      </w:r>
      <w:hyperlink r:id="rId133">
        <w:r>
          <w:rPr>
            <w:rFonts w:ascii="Times New Roman" w:cs="Times New Roman" w:eastAsia="Times New Roman" w:hAnsi="Times New Roman"/>
            <w:sz w:val="16"/>
            <w:szCs w:val="16"/>
            <w:u w:val="single" w:color="auto"/>
            <w:color w:val="0000FF"/>
          </w:rPr>
          <w:t>U.S. Bank National Association, as trustee.</w:t>
        </w:r>
      </w:hyperlink>
    </w:p>
    <w:p>
      <w:pPr>
        <w:spacing w:after="0" w:line="70" w:lineRule="exact"/>
        <w:rPr>
          <w:sz w:val="20"/>
          <w:szCs w:val="20"/>
          <w:color w:val="auto"/>
        </w:rPr>
      </w:pPr>
    </w:p>
    <w:p>
      <w:pPr>
        <w:jc w:val="both"/>
        <w:ind w:left="900" w:hanging="604"/>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4.3</w:t>
      </w:r>
      <w:r>
        <w:rPr>
          <w:sz w:val="20"/>
          <w:szCs w:val="20"/>
          <w:color w:val="auto"/>
        </w:rPr>
        <w:tab/>
      </w:r>
      <w:hyperlink r:id="rId134">
        <w:r>
          <w:rPr>
            <w:rFonts w:ascii="Times New Roman" w:cs="Times New Roman" w:eastAsia="Times New Roman" w:hAnsi="Times New Roman"/>
            <w:sz w:val="16"/>
            <w:szCs w:val="16"/>
            <w:u w:val="single" w:color="auto"/>
            <w:color w:val="0000FF"/>
          </w:rPr>
          <w:t>First Supplemental Indenture, dated as of July 20, 2020, to Indenture (8.125% CEI Senior Notes due 2027), dated as of</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July 6, 2020, by and among Colt Merger Sub, Inc., Eldorado Resorts, Inc., the subsidiary guarantors party thereto and</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U.S. Bank National Association, as trustee.</w:t>
        </w:r>
      </w:hyperlink>
    </w:p>
    <w:p>
      <w:pPr>
        <w:spacing w:after="0" w:line="63" w:lineRule="exact"/>
        <w:rPr>
          <w:rFonts w:ascii="Times New Roman" w:cs="Times New Roman" w:eastAsia="Times New Roman" w:hAnsi="Times New Roman"/>
          <w:sz w:val="16"/>
          <w:szCs w:val="16"/>
          <w:u w:val="single" w:color="auto"/>
          <w:color w:val="0000FF"/>
        </w:rPr>
      </w:pPr>
    </w:p>
    <w:p>
      <w:pPr>
        <w:jc w:val="both"/>
        <w:ind w:left="900" w:hanging="604"/>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4.4</w:t>
      </w:r>
      <w:r>
        <w:rPr>
          <w:sz w:val="20"/>
          <w:szCs w:val="20"/>
          <w:color w:val="auto"/>
        </w:rPr>
        <w:tab/>
      </w:r>
      <w:hyperlink r:id="rId135">
        <w:r>
          <w:rPr>
            <w:rFonts w:ascii="Times New Roman" w:cs="Times New Roman" w:eastAsia="Times New Roman" w:hAnsi="Times New Roman"/>
            <w:sz w:val="16"/>
            <w:szCs w:val="16"/>
            <w:u w:val="single" w:color="auto"/>
            <w:color w:val="0000FF"/>
          </w:rPr>
          <w:t>Second Supplemental Indenture, dated as of June 4, 2021, to Indenture (8.125% CEI Senior Notes due 2027), dated as</w:t>
        </w:r>
      </w:hyperlink>
      <w:r>
        <w:rPr>
          <w:rFonts w:ascii="Times New Roman" w:cs="Times New Roman" w:eastAsia="Times New Roman" w:hAnsi="Times New Roman"/>
          <w:sz w:val="16"/>
          <w:szCs w:val="16"/>
          <w:u w:val="single" w:color="auto"/>
          <w:color w:val="0000FF"/>
        </w:rPr>
        <w:t xml:space="preserve"> </w:t>
      </w:r>
      <w:hyperlink r:id="rId135">
        <w:r>
          <w:rPr>
            <w:rFonts w:ascii="Times New Roman" w:cs="Times New Roman" w:eastAsia="Times New Roman" w:hAnsi="Times New Roman"/>
            <w:sz w:val="16"/>
            <w:szCs w:val="16"/>
            <w:u w:val="single" w:color="auto"/>
            <w:color w:val="0000FF"/>
          </w:rPr>
          <w:t>of July 6, 2020, by and among Caesars Entertainment, Inc., the subsidiary guarantors party thereto and U.S. Bank</w:t>
        </w:r>
      </w:hyperlink>
      <w:r>
        <w:rPr>
          <w:rFonts w:ascii="Times New Roman" w:cs="Times New Roman" w:eastAsia="Times New Roman" w:hAnsi="Times New Roman"/>
          <w:sz w:val="16"/>
          <w:szCs w:val="16"/>
          <w:u w:val="single" w:color="auto"/>
          <w:color w:val="0000FF"/>
        </w:rPr>
        <w:t xml:space="preserve"> </w:t>
      </w:r>
      <w:hyperlink r:id="rId135">
        <w:r>
          <w:rPr>
            <w:rFonts w:ascii="Times New Roman" w:cs="Times New Roman" w:eastAsia="Times New Roman" w:hAnsi="Times New Roman"/>
            <w:sz w:val="16"/>
            <w:szCs w:val="16"/>
            <w:u w:val="single" w:color="auto"/>
            <w:color w:val="0000FF"/>
          </w:rPr>
          <w:t>National Association, as trustee.</w:t>
        </w:r>
      </w:hyperlink>
    </w:p>
    <w:p>
      <w:pPr>
        <w:spacing w:after="0" w:line="63" w:lineRule="exact"/>
        <w:rPr>
          <w:rFonts w:ascii="Times New Roman" w:cs="Times New Roman" w:eastAsia="Times New Roman" w:hAnsi="Times New Roman"/>
          <w:sz w:val="16"/>
          <w:szCs w:val="16"/>
          <w:u w:val="single" w:color="auto"/>
          <w:color w:val="0000FF"/>
        </w:rPr>
      </w:pPr>
    </w:p>
    <w:p>
      <w:pPr>
        <w:jc w:val="both"/>
        <w:ind w:left="900" w:hanging="604"/>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4.5</w:t>
      </w:r>
      <w:r>
        <w:rPr>
          <w:sz w:val="20"/>
          <w:szCs w:val="20"/>
          <w:color w:val="auto"/>
        </w:rPr>
        <w:tab/>
      </w:r>
      <w:hyperlink r:id="rId136">
        <w:r>
          <w:rPr>
            <w:rFonts w:ascii="Times New Roman" w:cs="Times New Roman" w:eastAsia="Times New Roman" w:hAnsi="Times New Roman"/>
            <w:sz w:val="16"/>
            <w:szCs w:val="16"/>
            <w:u w:val="single" w:color="auto"/>
            <w:color w:val="0000FF"/>
          </w:rPr>
          <w:t>Third Supplemental Indenture, dated as of November 3, 2023, to Indenture (8.125% CEI Senior Notes due 2027), dated</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as of July 6, 2020, by and among Caesars Entertainment, Inc., the subsidiary guarantors party thereto and U.S. Bank</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National Association, as trustee.</w:t>
        </w:r>
      </w:hyperlink>
    </w:p>
    <w:p>
      <w:pPr>
        <w:spacing w:after="0" w:line="63" w:lineRule="exact"/>
        <w:rPr>
          <w:rFonts w:ascii="Times New Roman" w:cs="Times New Roman" w:eastAsia="Times New Roman" w:hAnsi="Times New Roman"/>
          <w:sz w:val="16"/>
          <w:szCs w:val="16"/>
          <w:u w:val="single" w:color="auto"/>
          <w:color w:val="0000FF"/>
        </w:rPr>
      </w:pPr>
    </w:p>
    <w:p>
      <w:pPr>
        <w:jc w:val="both"/>
        <w:ind w:left="900" w:hanging="604"/>
        <w:spacing w:after="0" w:line="272" w:lineRule="auto"/>
        <w:tabs>
          <w:tab w:leader="none" w:pos="88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u w:val="single" w:color="auto"/>
          <w:color w:val="0000FF"/>
        </w:rPr>
        <w:t>Fourth Supplemental Indenture, dated as of August 23, 2024, to Indenture (8.125% CEI Senior Notes due 2027), dated as of July 6, 2020, by and among Caesars Entertainment, Inc., the subsidiary guarantors party thereto and U.S. Bank National Association, as trustee.</w:t>
      </w:r>
    </w:p>
    <w:p>
      <w:pPr>
        <w:spacing w:after="0" w:line="63" w:lineRule="exact"/>
        <w:rPr>
          <w:rFonts w:ascii="Times New Roman" w:cs="Times New Roman" w:eastAsia="Times New Roman" w:hAnsi="Times New Roman"/>
          <w:sz w:val="16"/>
          <w:szCs w:val="16"/>
          <w:u w:val="single" w:color="auto"/>
          <w:color w:val="0000FF"/>
        </w:rPr>
      </w:pPr>
    </w:p>
    <w:p>
      <w:pPr>
        <w:jc w:val="both"/>
        <w:ind w:left="900" w:hanging="604"/>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4.7</w:t>
      </w:r>
      <w:r>
        <w:rPr>
          <w:sz w:val="20"/>
          <w:szCs w:val="20"/>
          <w:color w:val="auto"/>
        </w:rPr>
        <w:tab/>
      </w:r>
      <w:hyperlink r:id="rId137">
        <w:r>
          <w:rPr>
            <w:rFonts w:ascii="Times New Roman" w:cs="Times New Roman" w:eastAsia="Times New Roman" w:hAnsi="Times New Roman"/>
            <w:sz w:val="16"/>
            <w:szCs w:val="16"/>
            <w:u w:val="single" w:color="auto"/>
            <w:color w:val="0000FF"/>
          </w:rPr>
          <w:t>Indenture (4.625% CEI Senior Notes due 2029), dated as of September 24, 2021, by and between Caesars</w:t>
        </w:r>
      </w:hyperlink>
      <w:r>
        <w:rPr>
          <w:rFonts w:ascii="Times New Roman" w:cs="Times New Roman" w:eastAsia="Times New Roman" w:hAnsi="Times New Roman"/>
          <w:sz w:val="16"/>
          <w:szCs w:val="16"/>
          <w:u w:val="single" w:color="auto"/>
          <w:color w:val="0000FF"/>
        </w:rPr>
        <w:t xml:space="preserve"> </w:t>
      </w:r>
      <w:hyperlink r:id="rId137">
        <w:r>
          <w:rPr>
            <w:rFonts w:ascii="Times New Roman" w:cs="Times New Roman" w:eastAsia="Times New Roman" w:hAnsi="Times New Roman"/>
            <w:sz w:val="16"/>
            <w:szCs w:val="16"/>
            <w:u w:val="single" w:color="auto"/>
            <w:color w:val="0000FF"/>
          </w:rPr>
          <w:t>Entertainment, Inc., the guarantors party thereto and U.S. Bank National Association, as trustee.</w:t>
        </w:r>
      </w:hyperlink>
    </w:p>
    <w:p>
      <w:pPr>
        <w:spacing w:after="0" w:line="70" w:lineRule="exact"/>
        <w:rPr>
          <w:sz w:val="20"/>
          <w:szCs w:val="20"/>
          <w:color w:val="auto"/>
        </w:rPr>
      </w:pPr>
    </w:p>
    <w:p>
      <w:pPr>
        <w:jc w:val="both"/>
        <w:ind w:left="900" w:hanging="604"/>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4.8</w:t>
      </w:r>
      <w:r>
        <w:rPr>
          <w:sz w:val="20"/>
          <w:szCs w:val="20"/>
          <w:color w:val="auto"/>
        </w:rPr>
        <w:tab/>
      </w:r>
      <w:hyperlink r:id="rId138">
        <w:r>
          <w:rPr>
            <w:rFonts w:ascii="Times New Roman" w:cs="Times New Roman" w:eastAsia="Times New Roman" w:hAnsi="Times New Roman"/>
            <w:sz w:val="16"/>
            <w:szCs w:val="16"/>
            <w:u w:val="single" w:color="auto"/>
            <w:color w:val="0000FF"/>
          </w:rPr>
          <w:t>First Supplemental Indenture, dated as of October 4, 2022, to Indenture (4.625% CEI Senior Notes due 2029), by and</w:t>
        </w:r>
      </w:hyperlink>
      <w:r>
        <w:rPr>
          <w:rFonts w:ascii="Times New Roman" w:cs="Times New Roman" w:eastAsia="Times New Roman" w:hAnsi="Times New Roman"/>
          <w:sz w:val="16"/>
          <w:szCs w:val="16"/>
          <w:u w:val="single" w:color="auto"/>
          <w:color w:val="0000FF"/>
        </w:rPr>
        <w:t xml:space="preserve"> </w:t>
      </w:r>
      <w:hyperlink r:id="rId138">
        <w:r>
          <w:rPr>
            <w:rFonts w:ascii="Times New Roman" w:cs="Times New Roman" w:eastAsia="Times New Roman" w:hAnsi="Times New Roman"/>
            <w:sz w:val="16"/>
            <w:szCs w:val="16"/>
            <w:u w:val="single" w:color="auto"/>
            <w:color w:val="0000FF"/>
          </w:rPr>
          <w:t>among Caesars Entertainment, Inc., the guarantors party thereto and U.S. Bank National Association, as trustee.</w:t>
        </w:r>
      </w:hyperlink>
    </w:p>
    <w:p>
      <w:pPr>
        <w:spacing w:after="0" w:line="70" w:lineRule="exact"/>
        <w:rPr>
          <w:sz w:val="20"/>
          <w:szCs w:val="20"/>
          <w:color w:val="auto"/>
        </w:rPr>
      </w:pPr>
    </w:p>
    <w:p>
      <w:pPr>
        <w:jc w:val="both"/>
        <w:ind w:left="900" w:hanging="604"/>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4.9</w:t>
      </w:r>
      <w:r>
        <w:rPr>
          <w:sz w:val="20"/>
          <w:szCs w:val="20"/>
          <w:color w:val="auto"/>
        </w:rPr>
        <w:tab/>
      </w:r>
      <w:hyperlink r:id="rId139">
        <w:r>
          <w:rPr>
            <w:rFonts w:ascii="Times New Roman" w:cs="Times New Roman" w:eastAsia="Times New Roman" w:hAnsi="Times New Roman"/>
            <w:sz w:val="16"/>
            <w:szCs w:val="16"/>
            <w:u w:val="single" w:color="auto"/>
            <w:color w:val="0000FF"/>
          </w:rPr>
          <w:t>Second Supplemental Indenture, dated as of November 3, 2023, to Indenture (4.625% CEI Senior Notes due 2029), by</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and among Caesars Entertainment, Inc., the guarantors party thereto and U.S. Bank National Association, as trustee.</w:t>
        </w:r>
      </w:hyperlink>
    </w:p>
    <w:p>
      <w:pPr>
        <w:spacing w:after="0" w:line="70" w:lineRule="exact"/>
        <w:rPr>
          <w:sz w:val="20"/>
          <w:szCs w:val="20"/>
          <w:color w:val="auto"/>
        </w:rPr>
      </w:pPr>
    </w:p>
    <w:p>
      <w:pPr>
        <w:jc w:val="both"/>
        <w:ind w:left="900" w:hanging="645"/>
        <w:spacing w:after="0" w:line="280" w:lineRule="auto"/>
        <w:tabs>
          <w:tab w:leader="none" w:pos="880" w:val="left"/>
        </w:tabs>
        <w:rPr>
          <w:sz w:val="20"/>
          <w:szCs w:val="20"/>
          <w:color w:val="auto"/>
        </w:rPr>
      </w:pPr>
      <w:r>
        <w:rPr>
          <w:rFonts w:ascii="Times New Roman" w:cs="Times New Roman" w:eastAsia="Times New Roman" w:hAnsi="Times New Roman"/>
          <w:sz w:val="16"/>
          <w:szCs w:val="16"/>
          <w:color w:val="auto"/>
        </w:rPr>
        <w:t>4.10</w:t>
      </w:r>
      <w:r>
        <w:rPr>
          <w:sz w:val="20"/>
          <w:szCs w:val="20"/>
          <w:color w:val="auto"/>
        </w:rPr>
        <w:tab/>
      </w:r>
      <w:r>
        <w:rPr>
          <w:rFonts w:ascii="Times New Roman" w:cs="Times New Roman" w:eastAsia="Times New Roman" w:hAnsi="Times New Roman"/>
          <w:sz w:val="16"/>
          <w:szCs w:val="16"/>
          <w:u w:val="single" w:color="auto"/>
          <w:color w:val="0000FF"/>
        </w:rPr>
        <w:t>Third Supplemental Indenture, dated as of August 23, 2024, to Indenture (4.625% CEI Senior Notes due 2029), by and among Caesars Entertainment, Inc., the guarantors party thereto and U.S. Bank National Association, as trustee.</w:t>
      </w:r>
    </w:p>
    <w:p>
      <w:pPr>
        <w:spacing w:after="0" w:line="70" w:lineRule="exact"/>
        <w:rPr>
          <w:sz w:val="20"/>
          <w:szCs w:val="20"/>
          <w:color w:val="auto"/>
        </w:rPr>
      </w:pPr>
    </w:p>
    <w:p>
      <w:pPr>
        <w:jc w:val="both"/>
        <w:ind w:left="900" w:hanging="642"/>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4.11</w:t>
      </w:r>
      <w:r>
        <w:rPr>
          <w:sz w:val="20"/>
          <w:szCs w:val="20"/>
          <w:color w:val="auto"/>
        </w:rPr>
        <w:tab/>
      </w:r>
      <w:hyperlink r:id="rId140">
        <w:r>
          <w:rPr>
            <w:rFonts w:ascii="Times New Roman" w:cs="Times New Roman" w:eastAsia="Times New Roman" w:hAnsi="Times New Roman"/>
            <w:sz w:val="16"/>
            <w:szCs w:val="16"/>
            <w:u w:val="single" w:color="auto"/>
            <w:color w:val="0000FF"/>
          </w:rPr>
          <w:t>Indenture (7.00% Senior Secured Notes due 2030), dated as of February 6, 2023, by and among Caesars Entertainment,</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Inc., the subsidiary guarantors party thereto, U.S. Bank Trust Company, National Association, as trustee, and U.S. Bank</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National Association, as collateral agent.</w:t>
        </w:r>
      </w:hyperlink>
    </w:p>
    <w:p>
      <w:pPr>
        <w:spacing w:after="0" w:line="63" w:lineRule="exact"/>
        <w:rPr>
          <w:rFonts w:ascii="Times New Roman" w:cs="Times New Roman" w:eastAsia="Times New Roman" w:hAnsi="Times New Roman"/>
          <w:sz w:val="16"/>
          <w:szCs w:val="16"/>
          <w:u w:val="single" w:color="auto"/>
          <w:color w:val="0000FF"/>
        </w:rPr>
      </w:pPr>
    </w:p>
    <w:p>
      <w:pPr>
        <w:jc w:val="both"/>
        <w:ind w:left="900" w:hanging="645"/>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4.12</w:t>
      </w:r>
      <w:r>
        <w:rPr>
          <w:sz w:val="20"/>
          <w:szCs w:val="20"/>
          <w:color w:val="auto"/>
        </w:rPr>
        <w:tab/>
      </w:r>
      <w:hyperlink r:id="rId141">
        <w:r>
          <w:rPr>
            <w:rFonts w:ascii="Times New Roman" w:cs="Times New Roman" w:eastAsia="Times New Roman" w:hAnsi="Times New Roman"/>
            <w:sz w:val="16"/>
            <w:szCs w:val="16"/>
            <w:u w:val="single" w:color="auto"/>
            <w:color w:val="0000FF"/>
          </w:rPr>
          <w:t>First Supplemental Indenture (7.00% CEI Senior Secured Notes due 2030), dated as of March 24, 2023, to Indenture,</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dated as of February 6, 2023, by and among Caesars Entertainment, Inc., the subsidiary guarantors party thereto, U.S.</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Bank Trust Company, National Association, as Trustee, and U.S. Bank National Association, as Collateral Agent.</w:t>
        </w:r>
      </w:hyperlink>
    </w:p>
    <w:p>
      <w:pPr>
        <w:spacing w:after="0" w:line="63" w:lineRule="exact"/>
        <w:rPr>
          <w:rFonts w:ascii="Times New Roman" w:cs="Times New Roman" w:eastAsia="Times New Roman" w:hAnsi="Times New Roman"/>
          <w:sz w:val="16"/>
          <w:szCs w:val="16"/>
          <w:u w:val="single" w:color="auto"/>
          <w:color w:val="0000FF"/>
        </w:rPr>
      </w:pPr>
    </w:p>
    <w:p>
      <w:pPr>
        <w:jc w:val="both"/>
        <w:ind w:left="900" w:hanging="645"/>
        <w:spacing w:after="0" w:line="263"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4.13</w:t>
      </w:r>
      <w:r>
        <w:rPr>
          <w:sz w:val="20"/>
          <w:szCs w:val="20"/>
          <w:color w:val="auto"/>
        </w:rPr>
        <w:tab/>
      </w:r>
      <w:hyperlink r:id="rId142">
        <w:r>
          <w:rPr>
            <w:rFonts w:ascii="Times New Roman" w:cs="Times New Roman" w:eastAsia="Times New Roman" w:hAnsi="Times New Roman"/>
            <w:sz w:val="16"/>
            <w:szCs w:val="16"/>
            <w:u w:val="single" w:color="auto"/>
            <w:color w:val="0000FF"/>
          </w:rPr>
          <w:t>Second Supplemental Indenture (7.00% CEI Senior Secured Notes due 2030), dated as of November 3, 2023, to</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Indenture, dated as of February 6, 2023, by and among Caesars Entertainment, Inc., the subsidiary guarantors party</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thereto, U.S. Bank Trust Company, National Association, as Trustee, and U.S. Bank National Association, as Collateral</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Agent.</w:t>
        </w:r>
      </w:hyperlink>
    </w:p>
    <w:p>
      <w:pPr>
        <w:spacing w:after="0" w:line="85" w:lineRule="exact"/>
        <w:rPr>
          <w:rFonts w:ascii="Times New Roman" w:cs="Times New Roman" w:eastAsia="Times New Roman" w:hAnsi="Times New Roman"/>
          <w:sz w:val="16"/>
          <w:szCs w:val="16"/>
          <w:u w:val="single" w:color="auto"/>
          <w:color w:val="0000FF"/>
        </w:rPr>
      </w:pPr>
    </w:p>
    <w:p>
      <w:pPr>
        <w:jc w:val="both"/>
        <w:ind w:left="900" w:hanging="645"/>
        <w:spacing w:after="0" w:line="272" w:lineRule="auto"/>
        <w:tabs>
          <w:tab w:leader="none" w:pos="880" w:val="left"/>
        </w:tabs>
        <w:rPr>
          <w:sz w:val="20"/>
          <w:szCs w:val="20"/>
          <w:color w:val="auto"/>
        </w:rPr>
      </w:pPr>
      <w:r>
        <w:rPr>
          <w:rFonts w:ascii="Times New Roman" w:cs="Times New Roman" w:eastAsia="Times New Roman" w:hAnsi="Times New Roman"/>
          <w:sz w:val="16"/>
          <w:szCs w:val="16"/>
          <w:color w:val="auto"/>
        </w:rPr>
        <w:t>4.14</w:t>
      </w:r>
      <w:r>
        <w:rPr>
          <w:sz w:val="20"/>
          <w:szCs w:val="20"/>
          <w:color w:val="auto"/>
        </w:rPr>
        <w:tab/>
      </w:r>
      <w:r>
        <w:rPr>
          <w:rFonts w:ascii="Times New Roman" w:cs="Times New Roman" w:eastAsia="Times New Roman" w:hAnsi="Times New Roman"/>
          <w:sz w:val="16"/>
          <w:szCs w:val="16"/>
          <w:u w:val="single" w:color="auto"/>
          <w:color w:val="0000FF"/>
        </w:rPr>
        <w:t>Third Supplemental Indenture (7.00% CEI Senior Secured Notes due 2030), dated as of August 23, 2024, to Indenture, dated as of February 6, 2023, by and among Caesars Entertainment, Inc., the subsidiary guarantors party thereto, U.S. Bank Trust Company, National Association, as Trustee, and U.S. Bank National Association, as Collateral Agent.</w:t>
      </w:r>
    </w:p>
    <w:p>
      <w:pPr>
        <w:spacing w:after="0" w:line="63" w:lineRule="exact"/>
        <w:rPr>
          <w:rFonts w:ascii="Times New Roman" w:cs="Times New Roman" w:eastAsia="Times New Roman" w:hAnsi="Times New Roman"/>
          <w:sz w:val="16"/>
          <w:szCs w:val="16"/>
          <w:u w:val="single" w:color="auto"/>
          <w:color w:val="0000FF"/>
        </w:rPr>
      </w:pPr>
    </w:p>
    <w:p>
      <w:pPr>
        <w:jc w:val="both"/>
        <w:ind w:left="900" w:hanging="645"/>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4.15</w:t>
      </w:r>
      <w:r>
        <w:rPr>
          <w:sz w:val="20"/>
          <w:szCs w:val="20"/>
          <w:color w:val="auto"/>
        </w:rPr>
        <w:tab/>
      </w:r>
      <w:hyperlink r:id="rId143">
        <w:r>
          <w:rPr>
            <w:rFonts w:ascii="Times New Roman" w:cs="Times New Roman" w:eastAsia="Times New Roman" w:hAnsi="Times New Roman"/>
            <w:sz w:val="16"/>
            <w:szCs w:val="16"/>
            <w:u w:val="single" w:color="auto"/>
            <w:color w:val="0000FF"/>
          </w:rPr>
          <w:t>Indenture (6.50% CEI Senior Secured Notes due 2032), dated as of February 6, 2024, by and among Caesars</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Entertainment, Inc., the subsidiary guarantors party thereto, U.S. Bank Trust Company, National Association, as</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Trustee, and U.S. Bank National Association, as Collateral Agent.</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99"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June 25, 2019.</w:t>
      </w:r>
    </w:p>
    <w:p>
      <w:pPr>
        <w:spacing w:after="0" w:line="70"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August 16, 2019.</w:t>
      </w:r>
    </w:p>
    <w:p>
      <w:pPr>
        <w:spacing w:after="0" w:line="70"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June 16, 2023.</w:t>
      </w:r>
    </w:p>
    <w:p>
      <w:pPr>
        <w:spacing w:after="0" w:line="70"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August 1, 2022.</w:t>
      </w:r>
    </w:p>
    <w:p>
      <w:pPr>
        <w:spacing w:after="0" w:line="5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00"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7, 2020.</w:t>
      </w:r>
    </w:p>
    <w:p>
      <w:pPr>
        <w:spacing w:after="0" w:line="57" w:lineRule="exact"/>
        <w:rPr>
          <w:rFonts w:ascii="Times New Roman" w:cs="Times New Roman" w:eastAsia="Times New Roman" w:hAnsi="Times New Roman"/>
          <w:sz w:val="16"/>
          <w:szCs w:val="16"/>
          <w:u w:val="single" w:color="auto"/>
          <w:color w:val="0000FF"/>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326" w:lineRule="exact"/>
        <w:rPr>
          <w:rFonts w:ascii="Times New Roman" w:cs="Times New Roman" w:eastAsia="Times New Roman" w:hAnsi="Times New Roman"/>
          <w:sz w:val="16"/>
          <w:szCs w:val="16"/>
          <w:u w:val="single" w:color="auto"/>
          <w:color w:val="0000FF"/>
        </w:rPr>
      </w:pPr>
    </w:p>
    <w:p>
      <w:pPr>
        <w:spacing w:after="0" w:line="280" w:lineRule="auto"/>
        <w:rPr>
          <w:sz w:val="20"/>
          <w:szCs w:val="20"/>
          <w:color w:val="auto"/>
        </w:rPr>
      </w:pPr>
      <w:r>
        <w:rPr>
          <w:rFonts w:ascii="Times New Roman" w:cs="Times New Roman" w:eastAsia="Times New Roman" w:hAnsi="Times New Roman"/>
          <w:sz w:val="16"/>
          <w:szCs w:val="16"/>
          <w:color w:val="auto"/>
        </w:rPr>
        <w:t>Previously filed on Form 10-K filed on February 22, 2023.</w:t>
      </w:r>
    </w:p>
    <w:p>
      <w:pPr>
        <w:spacing w:after="0" w:line="246" w:lineRule="exact"/>
        <w:rPr>
          <w:rFonts w:ascii="Times New Roman" w:cs="Times New Roman" w:eastAsia="Times New Roman" w:hAnsi="Times New Roman"/>
          <w:sz w:val="16"/>
          <w:szCs w:val="16"/>
          <w:u w:val="single" w:color="auto"/>
          <w:color w:val="0000FF"/>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10-K filed on February 20, 2024.</w:t>
      </w:r>
    </w:p>
    <w:p>
      <w:pPr>
        <w:spacing w:after="0" w:line="313"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318"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September 27, 2021.</w:t>
      </w:r>
    </w:p>
    <w:p>
      <w:pPr>
        <w:spacing w:after="0" w:line="70"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October 5, 2022.</w:t>
      </w:r>
    </w:p>
    <w:p>
      <w:pPr>
        <w:spacing w:after="0" w:line="57" w:lineRule="exact"/>
        <w:rPr>
          <w:rFonts w:ascii="Times New Roman" w:cs="Times New Roman" w:eastAsia="Times New Roman" w:hAnsi="Times New Roman"/>
          <w:sz w:val="16"/>
          <w:szCs w:val="16"/>
          <w:u w:val="single" w:color="auto"/>
          <w:color w:val="0000FF"/>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10-K filed on February 20, 2024.</w:t>
      </w:r>
    </w:p>
    <w:p>
      <w:pPr>
        <w:spacing w:after="0" w:line="124"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9"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February 6, 2023.</w:t>
      </w:r>
    </w:p>
    <w:p>
      <w:pPr>
        <w:spacing w:after="0" w:line="259" w:lineRule="exact"/>
        <w:rPr>
          <w:rFonts w:ascii="Times New Roman" w:cs="Times New Roman" w:eastAsia="Times New Roman" w:hAnsi="Times New Roman"/>
          <w:sz w:val="16"/>
          <w:szCs w:val="16"/>
          <w:u w:val="single" w:color="auto"/>
          <w:color w:val="0000FF"/>
        </w:rPr>
      </w:pPr>
    </w:p>
    <w:p>
      <w:pPr>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May 3, 2023.</w:t>
      </w:r>
    </w:p>
    <w:p>
      <w:pPr>
        <w:spacing w:after="0" w:line="246" w:lineRule="exact"/>
        <w:rPr>
          <w:rFonts w:ascii="Times New Roman" w:cs="Times New Roman" w:eastAsia="Times New Roman" w:hAnsi="Times New Roman"/>
          <w:sz w:val="16"/>
          <w:szCs w:val="16"/>
          <w:u w:val="single" w:color="auto"/>
          <w:color w:val="0000FF"/>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10-K filed on February 20, 2024.</w:t>
      </w:r>
    </w:p>
    <w:p>
      <w:pPr>
        <w:spacing w:after="0" w:line="200" w:lineRule="exact"/>
        <w:rPr>
          <w:rFonts w:ascii="Times New Roman" w:cs="Times New Roman" w:eastAsia="Times New Roman" w:hAnsi="Times New Roman"/>
          <w:sz w:val="16"/>
          <w:szCs w:val="16"/>
          <w:u w:val="single" w:color="auto"/>
          <w:color w:val="0000FF"/>
        </w:rPr>
      </w:pPr>
    </w:p>
    <w:p>
      <w:pPr>
        <w:spacing w:after="0" w:line="315"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318" w:lineRule="exact"/>
        <w:rPr>
          <w:rFonts w:ascii="Times New Roman" w:cs="Times New Roman" w:eastAsia="Times New Roman" w:hAnsi="Times New Roman"/>
          <w:sz w:val="16"/>
          <w:szCs w:val="16"/>
          <w:u w:val="single" w:color="auto"/>
          <w:color w:val="0000FF"/>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February 7, 2024.</w:t>
      </w:r>
    </w:p>
    <w:p>
      <w:pPr>
        <w:spacing w:after="0" w:line="382"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8680" w:space="140"/>
            <w:col w:w="2320"/>
          </w:cols>
          <w:pgMar w:left="320" w:top="1154" w:right="439" w:bottom="1440" w:gutter="0" w:footer="0" w:header="0"/>
          <w:type w:val="continuous"/>
        </w:sectPr>
      </w:pPr>
    </w:p>
    <w:p>
      <w:pPr>
        <w:spacing w:after="0" w:line="223"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40"/>
          </w:cols>
          <w:pgMar w:left="320" w:top="1154" w:right="439" w:bottom="1440" w:gutter="0" w:footer="0" w:header="0"/>
          <w:type w:val="continuous"/>
        </w:sectPr>
      </w:pPr>
    </w:p>
    <w:p>
      <w:pPr>
        <w:spacing w:after="0" w:line="39" w:lineRule="exact"/>
        <w:rPr>
          <w:rFonts w:ascii="Times New Roman" w:cs="Times New Roman" w:eastAsia="Times New Roman" w:hAnsi="Times New Roman"/>
          <w:sz w:val="16"/>
          <w:szCs w:val="16"/>
          <w:u w:val="single" w:color="auto"/>
          <w:color w:val="0000FF"/>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4" w:right="439" w:bottom="1440" w:gutter="0" w:footer="0" w:header="0"/>
          <w:type w:val="continuous"/>
        </w:sectPr>
      </w:pPr>
    </w:p>
    <w:bookmarkStart w:id="107" w:name="page108"/>
    <w:bookmarkEnd w:id="107"/>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40"/>
        <w:spacing w:after="0"/>
        <w:tabs>
          <w:tab w:leader="none" w:pos="4100" w:val="left"/>
          <w:tab w:leader="none" w:pos="94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sectPr>
      </w:pPr>
    </w:p>
    <w:p>
      <w:pPr>
        <w:spacing w:after="0" w:line="105"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4.16</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First Supplemental Indenture (6.50% CEI Senior Secured Notes due 2032), dated as of March 1, 2024, to Indenture,</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spacing w:after="0"/>
              <w:rPr>
                <w:sz w:val="14"/>
                <w:szCs w:val="14"/>
                <w:color w:val="auto"/>
              </w:rPr>
            </w:pPr>
          </w:p>
        </w:tc>
        <w:tc>
          <w:tcPr>
            <w:tcW w:w="8100" w:type="dxa"/>
            <w:vAlign w:val="bottom"/>
            <w:gridSpan w:val="30"/>
          </w:tcPr>
          <w:p>
            <w:pPr>
              <w:spacing w:after="0" w:line="169"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dated as of February 6, 2024, by and among Caesars Entertainment, Inc., the subsidiary guarantors party thereto, U.S.</w:t>
              </w:r>
            </w:hyperlink>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7620" w:type="dxa"/>
            <w:vAlign w:val="bottom"/>
            <w:tcBorders>
              <w:top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Bank Trust Company, National Association, as Trustee, and U.S. Bank National Association, as Collateral Agent.</w:t>
              </w:r>
            </w:hyperlink>
          </w:p>
        </w:tc>
        <w:tc>
          <w:tcPr>
            <w:tcW w:w="48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4.17</w:t>
            </w: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vMerge w:val="continue"/>
          </w:tcPr>
          <w:p>
            <w:pPr>
              <w:spacing w:after="0"/>
              <w:rPr>
                <w:sz w:val="24"/>
                <w:szCs w:val="24"/>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Second Supplemental Indenture (6.50% CEI Senior Secured Notes due 2032), dated as of August 23, 2024, to</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960" w:type="dxa"/>
            <w:vAlign w:val="bottom"/>
            <w:tcBorders>
              <w:top w:val="single" w:sz="8" w:color="0000FF"/>
              <w:bottom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6"/>
                <w:szCs w:val="16"/>
                <w:color w:val="0000FF"/>
              </w:rPr>
              <w:t>Indenture, dated as of February 6, 2024, by and among Caesars Entertainment, Inc., the subsidiary guarantors party</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8100" w:type="dxa"/>
            <w:vAlign w:val="bottom"/>
            <w:gridSpan w:val="30"/>
          </w:tcPr>
          <w:p>
            <w:pPr>
              <w:spacing w:after="0" w:line="183" w:lineRule="exact"/>
              <w:rPr>
                <w:sz w:val="20"/>
                <w:szCs w:val="20"/>
                <w:color w:val="auto"/>
              </w:rPr>
            </w:pPr>
            <w:r>
              <w:rPr>
                <w:rFonts w:ascii="Times New Roman" w:cs="Times New Roman" w:eastAsia="Times New Roman" w:hAnsi="Times New Roman"/>
                <w:sz w:val="16"/>
                <w:szCs w:val="16"/>
                <w:color w:val="0000FF"/>
              </w:rPr>
              <w:t>thereto, U.S. Bank Trust Company, National Association, as Trustee, and U.S. Bank National Association, as Collateral</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Agent.</w:t>
            </w:r>
          </w:p>
        </w:tc>
        <w:tc>
          <w:tcPr>
            <w:tcW w:w="74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4.18</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Indenture (6.00% CEI Senior Notes due 2032) dated as of October 17, 2024, by and among Caesars Entertainment,</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92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Inc., the subsidiary guarantors party thereto, and U.S. Bank Trust Company, National Association, as Trustee.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10.1</w:t>
            </w: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Second Amendment to Lease (CPLV) (which includes a conformed copy of the Las Vegas Lease through the Second</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8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Amendment), dated as of July 20, 2020, by and among CPLV Property Owner LLC, Claudine Propco LLC, Propco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8100" w:type="dxa"/>
            <w:vAlign w:val="bottom"/>
            <w:gridSpan w:val="30"/>
          </w:tcPr>
          <w:p>
            <w:pPr>
              <w:spacing w:after="0" w:line="183"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TRS LLC, Desert Palace LLC, CEOC, LLC and Harrah’s Las Vegas, LLC</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10.2</w:t>
            </w: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Third Amendment to Lease, dated as of September 30, 2020, by and among CPLV Property Owner LLC, Claudine</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Propco LLC, Propco TRS LLC, Desert Palace LLC, CEOC, LLC and Harrah’s Las Vegas,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10.3</w:t>
            </w: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Fourth Amendment to Lease, dated as of November 18, 2020, by and among CPLV Property Owner LLC, Claudine</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90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Propco LLC, Propco TRS LLC, Desert Palace LLC, CEOC, LLC and Harrah’s Las Vegas, LLC.</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10.4</w:t>
            </w: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Fifth Amendment to Lease, dated as of September 3, 2021, by and among CPLV Property Owner LLC, Claudine</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90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Propco LLC, Propco TRS LLC, Desert Palace LLC, CEOC, LLC and Harrah’s Las Vegas, LLC.</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10.5</w:t>
            </w: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Sixth Amendment to Lease, dated as of November 1, 2021, by and among CPLV Property Owner LLC, Claudine</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20" w:type="dxa"/>
            <w:vAlign w:val="bottom"/>
            <w:tcBorders>
              <w:top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Propco LLC, Propco TRS LLC, Desert Palace LLC, CEOC, LLC and Harrah’s Las Vegas,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10.6</w:t>
            </w: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Guaranty, dated as of July 20, 2020, by and among Eldorado Resorts, Inc., CPLV Property Owner LLC and Claudine</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980" w:type="dxa"/>
            <w:vAlign w:val="bottom"/>
            <w:tcBorders>
              <w:top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Propco LLC.</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10.7**</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Fifth Amendment to Lease (Non-CPLV) (which includes a conformed copy of the Regional Lease through the Fifth</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8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Amendment), dated as of July 20, 2020, by and among the entities listed on Schedule A attached thereto, Harrah’s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8100" w:type="dxa"/>
            <w:vAlign w:val="bottom"/>
            <w:gridSpan w:val="30"/>
          </w:tcPr>
          <w:p>
            <w:pPr>
              <w:spacing w:after="0" w:line="183"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Atlantic City LLC, New Laughlin Owner LLC, Harrah’s New Orleans LLC, the entities listed on Schedule B attached</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thereto, Harrah’s Atlantic City Operating Company, LLC, Harrah’s Laughlin, LLC, Jazz Casino Company, L.L.C.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8100" w:type="dxa"/>
            <w:vAlign w:val="bottom"/>
            <w:gridSpan w:val="30"/>
          </w:tcPr>
          <w:p>
            <w:pPr>
              <w:spacing w:after="0" w:line="183"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Propco TRS LLC.</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10.8**</w:t>
            </w:r>
          </w:p>
        </w:tc>
        <w:tc>
          <w:tcPr>
            <w:tcW w:w="11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vMerge w:val="continue"/>
          </w:tcPr>
          <w:p>
            <w:pPr>
              <w:spacing w:after="0"/>
              <w:rPr>
                <w:sz w:val="24"/>
                <w:szCs w:val="24"/>
                <w:color w:val="auto"/>
              </w:rPr>
            </w:pPr>
          </w:p>
        </w:tc>
        <w:tc>
          <w:tcPr>
            <w:tcW w:w="8100" w:type="dxa"/>
            <w:vAlign w:val="bottom"/>
            <w:gridSpan w:val="30"/>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Sixth Amendment to Lease, dated as of September 30, 2020, by and among the entities listed on Schedules A and B</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thereto and Propco TRS LLC.</w:t>
              </w:r>
            </w:hyperlink>
          </w:p>
        </w:tc>
        <w:tc>
          <w:tcPr>
            <w:tcW w:w="60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10.9</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Seventh Amendment to Lease, dated as of November 18, 2020, by and among the entities listed on Schedules A and B</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thereto and Propco TRS LLC.</w:t>
              </w:r>
            </w:hyperlink>
          </w:p>
        </w:tc>
        <w:tc>
          <w:tcPr>
            <w:tcW w:w="5980" w:type="dxa"/>
            <w:vAlign w:val="bottom"/>
            <w:tcBorders>
              <w:top w:val="single" w:sz="8" w:color="0000FF"/>
            </w:tcBorders>
            <w:gridSpan w:val="17"/>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10.10</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Eighth Amendment to Lease, dated as of September 3, 2021, by and among the entities listed on Schedule A and B</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thereto and Propco TRS LLC.</w:t>
              </w:r>
            </w:hyperlink>
          </w:p>
        </w:tc>
        <w:tc>
          <w:tcPr>
            <w:tcW w:w="606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10.11</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Ninth Amendment to Lease, dated as of November 1, 2021, by and among the entities listed on Schedules A and B</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thereto and Propco TRS LLC.</w:t>
              </w:r>
            </w:hyperlink>
          </w:p>
        </w:tc>
        <w:tc>
          <w:tcPr>
            <w:tcW w:w="5880" w:type="dxa"/>
            <w:vAlign w:val="bottom"/>
            <w:tcBorders>
              <w:top w:val="single" w:sz="8" w:color="0000FF"/>
            </w:tcBorders>
            <w:gridSpan w:val="12"/>
          </w:tcPr>
          <w:p>
            <w:pPr>
              <w:spacing w:after="0"/>
              <w:rPr>
                <w:sz w:val="14"/>
                <w:szCs w:val="14"/>
                <w:color w:val="auto"/>
              </w:rPr>
            </w:pPr>
          </w:p>
        </w:tc>
        <w:tc>
          <w:tcPr>
            <w:tcW w:w="2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10.12</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Tenth Amendment to Lease (Regional), dated as of December 30, 2021, by and among the entities listed on Schedules</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 and B thereto and Propco TRS LLC.</w:t>
              </w:r>
            </w:hyperlink>
          </w:p>
        </w:tc>
        <w:tc>
          <w:tcPr>
            <w:tcW w:w="554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10.13</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Eleventh Amendment to Lease, dated as of August 25, 2022, by and among the entities listed on Schedules A and B</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thereto and Propco TRS LLC.</w:t>
              </w:r>
            </w:hyperlink>
          </w:p>
        </w:tc>
        <w:tc>
          <w:tcPr>
            <w:tcW w:w="5960" w:type="dxa"/>
            <w:vAlign w:val="bottom"/>
            <w:tcBorders>
              <w:top w:val="single" w:sz="8" w:color="0000FF"/>
            </w:tcBorders>
            <w:gridSpan w:val="16"/>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10.14</w:t>
            </w:r>
          </w:p>
        </w:tc>
        <w:tc>
          <w:tcPr>
            <w:tcW w:w="8100" w:type="dxa"/>
            <w:vAlign w:val="bottom"/>
            <w:gridSpan w:val="30"/>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Twelfth Amendment to Lease, dated as of April 7, 2023, by and among the entities listed on Schedules A and B thereto</w:t>
              </w:r>
            </w:hyperlink>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778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and Propco TRS LLC.</w:t>
              </w:r>
            </w:hyperlink>
          </w:p>
        </w:tc>
        <w:tc>
          <w:tcPr>
            <w:tcW w:w="3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April 30, 2024.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8-K filed on October 17, 2024.</w:t>
      </w:r>
    </w:p>
    <w:p>
      <w:pPr>
        <w:spacing w:after="0" w:line="13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25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November 9, 2020.</w:t>
      </w:r>
    </w:p>
    <w:p>
      <w:pPr>
        <w:spacing w:after="0" w:line="7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Previously filed on Form 10-K on March 1, 2021.</w:t>
      </w:r>
    </w:p>
    <w:p>
      <w:pPr>
        <w:spacing w:after="0" w:line="7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Previously filed on Form 10-Q on November 5, 2021.</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10-K filed on February 24, 2022.</w:t>
      </w:r>
    </w:p>
    <w:p>
      <w:pPr>
        <w:spacing w:after="0" w:line="7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November 9, 2020.</w:t>
      </w:r>
    </w:p>
    <w:p>
      <w:pPr>
        <w:spacing w:after="0" w:line="7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Previously filed on Form 10-K on March 1, 2021.</w:t>
      </w:r>
    </w:p>
    <w:p>
      <w:pPr>
        <w:spacing w:after="0" w:line="7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Previously filed on Form 10-Q on November 5, 2021.</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10-K filed on February 24, 2022.</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10-K filed on February 24, 2022.</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November 2, 2022.</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May 3, 2023.</w:t>
      </w:r>
    </w:p>
    <w:p>
      <w:pPr>
        <w:spacing w:after="0" w:line="200" w:lineRule="exact"/>
        <w:rPr>
          <w:sz w:val="20"/>
          <w:szCs w:val="20"/>
          <w:color w:val="auto"/>
        </w:rPr>
      </w:pPr>
    </w:p>
    <w:p>
      <w:pPr>
        <w:sectPr>
          <w:pgSz w:w="11900" w:h="16838" w:orient="portrait"/>
          <w:cols w:equalWidth="0" w:num="2">
            <w:col w:w="8680" w:space="140"/>
            <w:col w:w="2400"/>
          </w:cols>
          <w:pgMar w:left="320" w:top="1154" w:right="35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75"/>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7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gridSpan w:val="10"/>
          </w:tcPr>
          <w:p>
            <w:pPr>
              <w:spacing w:after="0" w:line="183"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Guaranty of Lease, dated as of July 20, 2020, by and among Eldorado Resorts, Inc. and the entities listed on Schedule</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80" w:type="dxa"/>
            <w:vAlign w:val="bottom"/>
            <w:tcBorders>
              <w:top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 thereto (Regional).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Second Amendment to Lease (Joliet) (which includes a conformed copy of the Joliet Lease through the Second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Amendment), dated as of July 20, 2020, by and among Harrah’s Joliet Landco LLC, Des Plaines Development Limited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Partnership, CEOC, LLC and Propco TRS LLC.</w:t>
              </w:r>
            </w:hyperlink>
          </w:p>
        </w:tc>
        <w:tc>
          <w:tcPr>
            <w:tcW w:w="47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Third Amendment to Lease, dated as of September 30, 2020, by and among Harrah’s Joliet Landco LLC, Des Plaines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Development Limited Partnership, CEOC, LLC and Propco TRS LLC.</w:t>
              </w:r>
            </w:hyperlink>
          </w:p>
        </w:tc>
        <w:tc>
          <w:tcPr>
            <w:tcW w:w="3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Fourth Amendment to Lease, dated as of November 18, 2020, by and among Harrah’s Joliet Landco LLC, Des Plaines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Development Limited Partnership, CEOC, LLC and Propco TRS LLC.</w:t>
              </w:r>
            </w:hyperlink>
          </w:p>
        </w:tc>
        <w:tc>
          <w:tcPr>
            <w:tcW w:w="3180" w:type="dxa"/>
            <w:vAlign w:val="bottom"/>
            <w:tcBorders>
              <w:top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Fifth Amendment to Lease, dated as of September 3, 2021, by and among Harrah’s Joliet Landco LLC, Des Plaines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Development Limited Partnership, CEOC, LLC and Propco TRS LLC.</w:t>
              </w:r>
            </w:hyperlink>
          </w:p>
        </w:tc>
        <w:tc>
          <w:tcPr>
            <w:tcW w:w="3180" w:type="dxa"/>
            <w:vAlign w:val="bottom"/>
            <w:tcBorders>
              <w:top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Sixth Amendment to Lease, dated as of November 1, 2021, by and among Harrah’s Joliet Landco LLC, Des Plaines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4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Development Limited Partnership, CEOC, LLC and Propco TRS LLC.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Guaranty, dated as of July 20, 2020, by and between Eldorado Resorts, Inc. and Harrah’s Joliet Landco LLC.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15513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5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2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November 9, 2020.</w:t>
      </w:r>
    </w:p>
    <w:p>
      <w:pPr>
        <w:spacing w:after="0" w:line="7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Previously filed on Form10-K on March 1, 2021.</w:t>
      </w:r>
    </w:p>
    <w:p>
      <w:pPr>
        <w:spacing w:after="0" w:line="7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Previously filed on Form 10-Q on November 5, 2021</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Previously filed on Form 10-K filed on February 24, 2022.</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57" w:lineRule="exact"/>
        <w:rPr>
          <w:sz w:val="20"/>
          <w:szCs w:val="20"/>
          <w:color w:val="auto"/>
        </w:rPr>
      </w:pPr>
    </w:p>
    <w:p>
      <w:pPr>
        <w:sectPr>
          <w:pgSz w:w="11900" w:h="16838" w:orient="portrait"/>
          <w:cols w:equalWidth="0" w:num="2">
            <w:col w:w="8700" w:space="120"/>
            <w:col w:w="2320"/>
          </w:cols>
          <w:pgMar w:left="320" w:top="1154" w:right="439" w:bottom="1440" w:gutter="0" w:footer="0" w:header="0"/>
        </w:sectPr>
      </w:pPr>
    </w:p>
    <w:p>
      <w:pPr>
        <w:ind w:left="900" w:hanging="726"/>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10.22*</w:t>
      </w:r>
      <w:r>
        <w:rPr>
          <w:sz w:val="20"/>
          <w:szCs w:val="20"/>
          <w:color w:val="auto"/>
        </w:rPr>
        <w:tab/>
      </w:r>
      <w:hyperlink r:id="rId171">
        <w:r>
          <w:rPr>
            <w:rFonts w:ascii="Times New Roman" w:cs="Times New Roman" w:eastAsia="Times New Roman" w:hAnsi="Times New Roman"/>
            <w:sz w:val="16"/>
            <w:szCs w:val="16"/>
            <w:u w:val="single" w:color="auto"/>
            <w:color w:val="0000FF"/>
          </w:rPr>
          <w:t>Right of First Refusal Agreement, dated as of July 20, 2020, by and between Eldorado Resorts, Inc. and VICI</w:t>
        </w:r>
      </w:hyperlink>
      <w:r>
        <w:rPr>
          <w:rFonts w:ascii="Times New Roman" w:cs="Times New Roman" w:eastAsia="Times New Roman" w:hAnsi="Times New Roman"/>
          <w:sz w:val="16"/>
          <w:szCs w:val="16"/>
          <w:u w:val="single" w:color="auto"/>
          <w:color w:val="0000FF"/>
        </w:rPr>
        <w:t xml:space="preserve"> </w:t>
      </w:r>
      <w:hyperlink r:id="rId171">
        <w:r>
          <w:rPr>
            <w:rFonts w:ascii="Times New Roman" w:cs="Times New Roman" w:eastAsia="Times New Roman" w:hAnsi="Times New Roman"/>
            <w:sz w:val="16"/>
            <w:szCs w:val="16"/>
            <w:u w:val="single" w:color="auto"/>
            <w:color w:val="0000FF"/>
          </w:rPr>
          <w:t>Properties L.P. (Las Vegas Strip).</w:t>
        </w:r>
      </w:hyperlink>
    </w:p>
    <w:p>
      <w:pPr>
        <w:spacing w:after="0" w:line="70" w:lineRule="exact"/>
        <w:rPr>
          <w:sz w:val="20"/>
          <w:szCs w:val="20"/>
          <w:color w:val="auto"/>
        </w:rPr>
      </w:pPr>
    </w:p>
    <w:p>
      <w:pPr>
        <w:jc w:val="both"/>
        <w:ind w:left="900" w:hanging="685"/>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10.23</w:t>
      </w:r>
      <w:r>
        <w:rPr>
          <w:sz w:val="20"/>
          <w:szCs w:val="20"/>
          <w:color w:val="auto"/>
        </w:rPr>
        <w:tab/>
      </w:r>
      <w:hyperlink r:id="rId172">
        <w:r>
          <w:rPr>
            <w:rFonts w:ascii="Times New Roman" w:cs="Times New Roman" w:eastAsia="Times New Roman" w:hAnsi="Times New Roman"/>
            <w:sz w:val="16"/>
            <w:szCs w:val="16"/>
            <w:u w:val="single" w:color="auto"/>
            <w:color w:val="0000FF"/>
          </w:rPr>
          <w:t>Right of First Refusal Agreement, dated as of July 20, 2020, by and between Eldorado Resorts, Inc. and VICI</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Properties L.P. (Horseshoe Baltimore).</w:t>
        </w:r>
      </w:hyperlink>
    </w:p>
    <w:p>
      <w:pPr>
        <w:spacing w:after="0" w:line="70" w:lineRule="exact"/>
        <w:rPr>
          <w:sz w:val="20"/>
          <w:szCs w:val="20"/>
          <w:color w:val="auto"/>
        </w:rPr>
      </w:pPr>
    </w:p>
    <w:p>
      <w:pPr>
        <w:jc w:val="both"/>
        <w:ind w:left="900" w:hanging="685"/>
        <w:spacing w:after="0" w:line="27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10.24</w:t>
      </w:r>
      <w:r>
        <w:rPr>
          <w:sz w:val="20"/>
          <w:szCs w:val="20"/>
          <w:color w:val="auto"/>
        </w:rPr>
        <w:tab/>
      </w:r>
      <w:hyperlink r:id="rId173">
        <w:r>
          <w:rPr>
            <w:rFonts w:ascii="Times New Roman" w:cs="Times New Roman" w:eastAsia="Times New Roman" w:hAnsi="Times New Roman"/>
            <w:sz w:val="16"/>
            <w:szCs w:val="16"/>
            <w:u w:val="single" w:color="auto"/>
            <w:color w:val="0000FF"/>
          </w:rPr>
          <w:t>Second Amendment to Golf Course Use Agreement, dated as of July 20, 2020, by and among Rio Secco LLC, Cascata</w:t>
        </w:r>
      </w:hyperlink>
      <w:r>
        <w:rPr>
          <w:rFonts w:ascii="Times New Roman" w:cs="Times New Roman" w:eastAsia="Times New Roman" w:hAnsi="Times New Roman"/>
          <w:sz w:val="16"/>
          <w:szCs w:val="16"/>
          <w:u w:val="single" w:color="auto"/>
          <w:color w:val="0000FF"/>
        </w:rPr>
        <w:t xml:space="preserve"> </w:t>
      </w:r>
      <w:hyperlink r:id="rId173">
        <w:r>
          <w:rPr>
            <w:rFonts w:ascii="Times New Roman" w:cs="Times New Roman" w:eastAsia="Times New Roman" w:hAnsi="Times New Roman"/>
            <w:sz w:val="16"/>
            <w:szCs w:val="16"/>
            <w:u w:val="single" w:color="auto"/>
            <w:color w:val="0000FF"/>
          </w:rPr>
          <w:t>LLC, Chariot Run LLC, Grand Bear LLC, Caesars Enterprise Services, LLC, CEOC, LLC and, solely for purposes of</w:t>
        </w:r>
      </w:hyperlink>
      <w:r>
        <w:rPr>
          <w:rFonts w:ascii="Times New Roman" w:cs="Times New Roman" w:eastAsia="Times New Roman" w:hAnsi="Times New Roman"/>
          <w:sz w:val="16"/>
          <w:szCs w:val="16"/>
          <w:u w:val="single" w:color="auto"/>
          <w:color w:val="0000FF"/>
        </w:rPr>
        <w:t xml:space="preserve"> </w:t>
      </w:r>
      <w:hyperlink r:id="rId173">
        <w:r>
          <w:rPr>
            <w:rFonts w:ascii="Times New Roman" w:cs="Times New Roman" w:eastAsia="Times New Roman" w:hAnsi="Times New Roman"/>
            <w:sz w:val="16"/>
            <w:szCs w:val="16"/>
            <w:u w:val="single" w:color="auto"/>
            <w:color w:val="0000FF"/>
          </w:rPr>
          <w:t>Section 2.1(c) thereof, Caesars License Company, LLC.</w:t>
        </w:r>
      </w:hyperlink>
    </w:p>
    <w:p>
      <w:pPr>
        <w:spacing w:after="0" w:line="63" w:lineRule="exact"/>
        <w:rPr>
          <w:rFonts w:ascii="Times New Roman" w:cs="Times New Roman" w:eastAsia="Times New Roman" w:hAnsi="Times New Roman"/>
          <w:sz w:val="16"/>
          <w:szCs w:val="16"/>
          <w:u w:val="single" w:color="auto"/>
          <w:color w:val="0000FF"/>
        </w:rPr>
      </w:pPr>
    </w:p>
    <w:p>
      <w:pPr>
        <w:ind w:left="900" w:hanging="726"/>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10.25*</w:t>
      </w:r>
      <w:r>
        <w:rPr>
          <w:sz w:val="20"/>
          <w:szCs w:val="20"/>
          <w:color w:val="auto"/>
        </w:rPr>
        <w:tab/>
      </w:r>
      <w:hyperlink r:id="rId174">
        <w:r>
          <w:rPr>
            <w:rFonts w:ascii="Times New Roman" w:cs="Times New Roman" w:eastAsia="Times New Roman" w:hAnsi="Times New Roman"/>
            <w:sz w:val="16"/>
            <w:szCs w:val="16"/>
            <w:u w:val="single" w:color="auto"/>
            <w:color w:val="0000FF"/>
          </w:rPr>
          <w:t>Amended and Restated Put-Call Right Agreement, dated as of July 20, 2020, by and among Claudine Propco, LLC and</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Eastside Convention Center, LLC.</w:t>
        </w:r>
      </w:hyperlink>
    </w:p>
    <w:p>
      <w:pPr>
        <w:spacing w:after="0" w:line="70" w:lineRule="exact"/>
        <w:rPr>
          <w:sz w:val="20"/>
          <w:szCs w:val="20"/>
          <w:color w:val="auto"/>
        </w:rPr>
      </w:pPr>
    </w:p>
    <w:p>
      <w:pPr>
        <w:ind w:left="900" w:hanging="726"/>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10.26*</w:t>
      </w:r>
      <w:r>
        <w:rPr>
          <w:sz w:val="20"/>
          <w:szCs w:val="20"/>
          <w:color w:val="auto"/>
        </w:rPr>
        <w:tab/>
      </w:r>
      <w:hyperlink r:id="rId175">
        <w:r>
          <w:rPr>
            <w:rFonts w:ascii="Times New Roman" w:cs="Times New Roman" w:eastAsia="Times New Roman" w:hAnsi="Times New Roman"/>
            <w:sz w:val="16"/>
            <w:szCs w:val="16"/>
            <w:u w:val="single" w:color="auto"/>
            <w:color w:val="0000FF"/>
          </w:rPr>
          <w:t>Second Amended and Restated Put-Call Right Agreement entered into as of September 18, 2020 by and among</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Claudine Propco LLC and Caesars Convention Center Owner, LLC.</w:t>
        </w:r>
      </w:hyperlink>
    </w:p>
    <w:p>
      <w:pPr>
        <w:spacing w:after="0" w:line="70" w:lineRule="exact"/>
        <w:rPr>
          <w:sz w:val="20"/>
          <w:szCs w:val="20"/>
          <w:color w:val="auto"/>
        </w:rPr>
      </w:pPr>
    </w:p>
    <w:p>
      <w:pPr>
        <w:jc w:val="both"/>
        <w:ind w:left="900" w:hanging="685"/>
        <w:spacing w:after="0" w:line="263"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10.27</w:t>
      </w:r>
      <w:r>
        <w:rPr>
          <w:sz w:val="20"/>
          <w:szCs w:val="20"/>
          <w:color w:val="auto"/>
        </w:rPr>
        <w:tab/>
      </w:r>
      <w:hyperlink r:id="rId176">
        <w:r>
          <w:rPr>
            <w:rFonts w:ascii="Times New Roman" w:cs="Times New Roman" w:eastAsia="Times New Roman" w:hAnsi="Times New Roman"/>
            <w:sz w:val="16"/>
            <w:szCs w:val="16"/>
            <w:u w:val="single" w:color="auto"/>
            <w:color w:val="0000FF"/>
          </w:rPr>
          <w:t>First Amendment to Third Amended and Restated Omnibus License and Enterprise Services Agreement, dated as of</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July 20, 2020, by and among Caesars Enterprise Services, LLC, CEOC, LLC, Caesars Resort Collection, LLC, Caesars</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License Company, LLC and Caesars World LLC (including as Exhibit A thereto a conformed copy of the Third</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Amended and Restated Omnibus License and Enterprise Services Agreement, dated as of December 26, 2018, as</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amended).</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rFonts w:ascii="Times New Roman" w:cs="Times New Roman" w:eastAsia="Times New Roman" w:hAnsi="Times New Roman"/>
          <w:sz w:val="16"/>
          <w:szCs w:val="16"/>
          <w:u w:val="single" w:color="auto"/>
          <w:color w:val="0000FF"/>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rFonts w:ascii="Times New Roman" w:cs="Times New Roman" w:eastAsia="Times New Roman" w:hAnsi="Times New Roman"/>
          <w:sz w:val="16"/>
          <w:szCs w:val="16"/>
          <w:u w:val="single" w:color="auto"/>
          <w:color w:val="0000FF"/>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259" w:lineRule="exact"/>
        <w:rPr>
          <w:rFonts w:ascii="Times New Roman" w:cs="Times New Roman" w:eastAsia="Times New Roman" w:hAnsi="Times New Roman"/>
          <w:sz w:val="16"/>
          <w:szCs w:val="16"/>
          <w:u w:val="single" w:color="auto"/>
          <w:color w:val="0000FF"/>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rFonts w:ascii="Times New Roman" w:cs="Times New Roman" w:eastAsia="Times New Roman" w:hAnsi="Times New Roman"/>
          <w:sz w:val="16"/>
          <w:szCs w:val="16"/>
          <w:u w:val="single" w:color="auto"/>
          <w:color w:val="0000FF"/>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September 18, 2020.</w:t>
      </w:r>
    </w:p>
    <w:p>
      <w:pPr>
        <w:spacing w:after="0" w:line="70" w:lineRule="exact"/>
        <w:rPr>
          <w:rFonts w:ascii="Times New Roman" w:cs="Times New Roman" w:eastAsia="Times New Roman" w:hAnsi="Times New Roman"/>
          <w:sz w:val="16"/>
          <w:szCs w:val="16"/>
          <w:u w:val="single" w:color="auto"/>
          <w:color w:val="0000FF"/>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Previously filed on Form 8-K filed by Caesars Holdings, Inc. on July 21, 2020.</w:t>
      </w:r>
    </w:p>
    <w:p>
      <w:pPr>
        <w:spacing w:after="0" w:line="441"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8680" w:space="140"/>
            <w:col w:w="2320"/>
          </w:cols>
          <w:pgMar w:left="320" w:top="1154" w:right="439" w:bottom="1440" w:gutter="0" w:footer="0" w:header="0"/>
          <w:type w:val="continuous"/>
        </w:sectPr>
      </w:pPr>
    </w:p>
    <w:p>
      <w:pPr>
        <w:ind w:left="900" w:hanging="685"/>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10.28</w:t>
      </w:r>
      <w:r>
        <w:rPr>
          <w:sz w:val="20"/>
          <w:szCs w:val="20"/>
          <w:color w:val="auto"/>
        </w:rPr>
        <w:tab/>
      </w:r>
      <w:hyperlink r:id="rId177">
        <w:r>
          <w:rPr>
            <w:rFonts w:ascii="Times New Roman" w:cs="Times New Roman" w:eastAsia="Times New Roman" w:hAnsi="Times New Roman"/>
            <w:sz w:val="16"/>
            <w:szCs w:val="16"/>
            <w:u w:val="single" w:color="auto"/>
            <w:color w:val="0000FF"/>
          </w:rPr>
          <w:t>Credit Agreement, dated as of July 20, 2020, by and among Eldorado Resorts, Inc., the lenders party thereto from time</w:t>
        </w:r>
      </w:hyperlink>
      <w:r>
        <w:rPr>
          <w:rFonts w:ascii="Times New Roman" w:cs="Times New Roman" w:eastAsia="Times New Roman" w:hAnsi="Times New Roman"/>
          <w:sz w:val="16"/>
          <w:szCs w:val="16"/>
          <w:u w:val="single" w:color="auto"/>
          <w:color w:val="0000FF"/>
        </w:rPr>
        <w:t xml:space="preserve"> </w:t>
      </w:r>
      <w:hyperlink r:id="rId177">
        <w:r>
          <w:rPr>
            <w:rFonts w:ascii="Times New Roman" w:cs="Times New Roman" w:eastAsia="Times New Roman" w:hAnsi="Times New Roman"/>
            <w:sz w:val="16"/>
            <w:szCs w:val="16"/>
            <w:u w:val="single" w:color="auto"/>
            <w:color w:val="0000FF"/>
          </w:rPr>
          <w:t>to time, JPMorgan Chase Bank, N.A., as administrative agent, and U.S. Bank National Association, as collateral agent.</w:t>
        </w:r>
      </w:hyperlink>
    </w:p>
    <w:p>
      <w:pPr>
        <w:spacing w:after="0" w:line="70" w:lineRule="exact"/>
        <w:rPr>
          <w:sz w:val="20"/>
          <w:szCs w:val="20"/>
          <w:color w:val="auto"/>
        </w:rPr>
      </w:pPr>
    </w:p>
    <w:p>
      <w:pPr>
        <w:ind w:left="900" w:hanging="685"/>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10.29</w:t>
      </w:r>
      <w:r>
        <w:rPr>
          <w:sz w:val="20"/>
          <w:szCs w:val="20"/>
          <w:color w:val="auto"/>
        </w:rPr>
        <w:tab/>
      </w:r>
      <w:hyperlink r:id="rId178">
        <w:r>
          <w:rPr>
            <w:rFonts w:ascii="Times New Roman" w:cs="Times New Roman" w:eastAsia="Times New Roman" w:hAnsi="Times New Roman"/>
            <w:sz w:val="16"/>
            <w:szCs w:val="16"/>
            <w:u w:val="single" w:color="auto"/>
            <w:color w:val="0000FF"/>
          </w:rPr>
          <w:t>Incremental Assumption Agreement No. 1, dated as of July 20, 2020, by and among Eldorado Resorts, Inc., the</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subsidiary guarantors party thereto, the lenders party thereto and JPMorgan Chase Bank, N.A., as administrative agent.</w:t>
        </w:r>
      </w:hyperlink>
    </w:p>
    <w:p>
      <w:pPr>
        <w:spacing w:after="0" w:line="70" w:lineRule="exact"/>
        <w:rPr>
          <w:sz w:val="20"/>
          <w:szCs w:val="20"/>
          <w:color w:val="auto"/>
        </w:rPr>
      </w:pPr>
    </w:p>
    <w:p>
      <w:pPr>
        <w:ind w:left="22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10.30</w:t>
      </w:r>
      <w:r>
        <w:rPr>
          <w:sz w:val="20"/>
          <w:szCs w:val="20"/>
          <w:color w:val="auto"/>
        </w:rPr>
        <w:tab/>
      </w:r>
      <w:hyperlink r:id="rId179">
        <w:r>
          <w:rPr>
            <w:rFonts w:ascii="Times New Roman" w:cs="Times New Roman" w:eastAsia="Times New Roman" w:hAnsi="Times New Roman"/>
            <w:sz w:val="16"/>
            <w:szCs w:val="16"/>
            <w:u w:val="single" w:color="auto"/>
            <w:color w:val="0000FF"/>
          </w:rPr>
          <w:t>First Amendment to Credit Agreement, dated as of November 10, 2021, by and between Caesars Entertainment, Inc.</w:t>
        </w:r>
      </w:hyperlink>
    </w:p>
    <w:p>
      <w:pPr>
        <w:spacing w:after="0" w:line="37" w:lineRule="exact"/>
        <w:rPr>
          <w:sz w:val="20"/>
          <w:szCs w:val="20"/>
          <w:color w:val="auto"/>
        </w:rPr>
      </w:pPr>
    </w:p>
    <w:p>
      <w:pPr>
        <w:ind w:left="900"/>
        <w:spacing w:after="0"/>
        <w:rPr>
          <w:rFonts w:ascii="Times New Roman" w:cs="Times New Roman" w:eastAsia="Times New Roman" w:hAnsi="Times New Roman"/>
          <w:sz w:val="16"/>
          <w:szCs w:val="16"/>
          <w:u w:val="single" w:color="auto"/>
          <w:color w:val="0000FF"/>
        </w:rPr>
      </w:pPr>
      <w:hyperlink r:id="rId179">
        <w:r>
          <w:rPr>
            <w:rFonts w:ascii="Times New Roman" w:cs="Times New Roman" w:eastAsia="Times New Roman" w:hAnsi="Times New Roman"/>
            <w:sz w:val="16"/>
            <w:szCs w:val="16"/>
            <w:u w:val="single" w:color="auto"/>
            <w:color w:val="0000FF"/>
          </w:rPr>
          <w:t>and JPMorgan Chase Bank, N.A., as administrative agent.</w:t>
        </w:r>
      </w:hyperlink>
    </w:p>
    <w:p>
      <w:pPr>
        <w:spacing w:after="0" w:line="95" w:lineRule="exact"/>
        <w:rPr>
          <w:sz w:val="20"/>
          <w:szCs w:val="20"/>
          <w:color w:val="auto"/>
        </w:rPr>
      </w:pPr>
    </w:p>
    <w:p>
      <w:pPr>
        <w:ind w:left="22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10.31</w:t>
      </w:r>
      <w:r>
        <w:rPr>
          <w:sz w:val="20"/>
          <w:szCs w:val="20"/>
          <w:color w:val="auto"/>
        </w:rPr>
        <w:tab/>
      </w:r>
      <w:hyperlink r:id="rId180">
        <w:r>
          <w:rPr>
            <w:rFonts w:ascii="Times New Roman" w:cs="Times New Roman" w:eastAsia="Times New Roman" w:hAnsi="Times New Roman"/>
            <w:sz w:val="16"/>
            <w:szCs w:val="16"/>
            <w:u w:val="single" w:color="auto"/>
            <w:color w:val="0000FF"/>
          </w:rPr>
          <w:t>Second Amendment to Credit Agreement, dated as of January 26, 2022, by and between Caesars Entertainment, Inc.</w:t>
        </w:r>
      </w:hyperlink>
    </w:p>
    <w:p>
      <w:pPr>
        <w:spacing w:after="0" w:line="37" w:lineRule="exact"/>
        <w:rPr>
          <w:sz w:val="20"/>
          <w:szCs w:val="20"/>
          <w:color w:val="auto"/>
        </w:rPr>
      </w:pPr>
    </w:p>
    <w:p>
      <w:pPr>
        <w:ind w:left="900"/>
        <w:spacing w:after="0"/>
        <w:rPr>
          <w:rFonts w:ascii="Times New Roman" w:cs="Times New Roman" w:eastAsia="Times New Roman" w:hAnsi="Times New Roman"/>
          <w:sz w:val="16"/>
          <w:szCs w:val="16"/>
          <w:u w:val="single" w:color="auto"/>
          <w:color w:val="0000FF"/>
        </w:rPr>
      </w:pPr>
      <w:hyperlink r:id="rId180">
        <w:r>
          <w:rPr>
            <w:rFonts w:ascii="Times New Roman" w:cs="Times New Roman" w:eastAsia="Times New Roman" w:hAnsi="Times New Roman"/>
            <w:sz w:val="16"/>
            <w:szCs w:val="16"/>
            <w:u w:val="single" w:color="auto"/>
            <w:color w:val="0000FF"/>
          </w:rPr>
          <w:t>and JPMorgan Chase Bank, N.A., as administrative agent.</w:t>
        </w:r>
      </w:hyperlink>
    </w:p>
    <w:p>
      <w:pPr>
        <w:spacing w:after="0" w:line="95" w:lineRule="exact"/>
        <w:rPr>
          <w:sz w:val="20"/>
          <w:szCs w:val="20"/>
          <w:color w:val="auto"/>
        </w:rPr>
      </w:pPr>
    </w:p>
    <w:p>
      <w:pPr>
        <w:ind w:left="900" w:hanging="685"/>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10.32</w:t>
      </w:r>
      <w:r>
        <w:rPr>
          <w:sz w:val="20"/>
          <w:szCs w:val="20"/>
          <w:color w:val="auto"/>
        </w:rPr>
        <w:tab/>
      </w:r>
      <w:hyperlink r:id="rId181">
        <w:r>
          <w:rPr>
            <w:rFonts w:ascii="Times New Roman" w:cs="Times New Roman" w:eastAsia="Times New Roman" w:hAnsi="Times New Roman"/>
            <w:sz w:val="16"/>
            <w:szCs w:val="16"/>
            <w:u w:val="single" w:color="auto"/>
            <w:color w:val="0000FF"/>
          </w:rPr>
          <w:t>Third Amendment to Credit Agreement, dated as of October 5, 2022, by and among Caesars Entertainment, Inc., the</w:t>
        </w:r>
      </w:hyperlink>
      <w:r>
        <w:rPr>
          <w:rFonts w:ascii="Times New Roman" w:cs="Times New Roman" w:eastAsia="Times New Roman" w:hAnsi="Times New Roman"/>
          <w:sz w:val="16"/>
          <w:szCs w:val="16"/>
          <w:u w:val="single" w:color="auto"/>
          <w:color w:val="0000FF"/>
        </w:rPr>
        <w:t xml:space="preserve"> </w:t>
      </w:r>
      <w:hyperlink r:id="rId181">
        <w:r>
          <w:rPr>
            <w:rFonts w:ascii="Times New Roman" w:cs="Times New Roman" w:eastAsia="Times New Roman" w:hAnsi="Times New Roman"/>
            <w:sz w:val="16"/>
            <w:szCs w:val="16"/>
            <w:u w:val="single" w:color="auto"/>
            <w:color w:val="0000FF"/>
          </w:rPr>
          <w:t>subsidiary guarantors party thereto, the lenders party thereto and JPMorgan Chase Bank, N.A., as administrative agent.</w:t>
        </w:r>
      </w:hyperlink>
    </w:p>
    <w:p>
      <w:pPr>
        <w:spacing w:after="0" w:line="70" w:lineRule="exact"/>
        <w:rPr>
          <w:sz w:val="20"/>
          <w:szCs w:val="20"/>
          <w:color w:val="auto"/>
        </w:rPr>
      </w:pPr>
    </w:p>
    <w:p>
      <w:pPr>
        <w:ind w:left="900" w:right="380" w:hanging="685"/>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10.33</w:t>
      </w:r>
      <w:r>
        <w:rPr>
          <w:sz w:val="20"/>
          <w:szCs w:val="20"/>
          <w:color w:val="auto"/>
        </w:rPr>
        <w:tab/>
      </w:r>
      <w:hyperlink r:id="rId182">
        <w:r>
          <w:rPr>
            <w:rFonts w:ascii="Times New Roman" w:cs="Times New Roman" w:eastAsia="Times New Roman" w:hAnsi="Times New Roman"/>
            <w:sz w:val="16"/>
            <w:szCs w:val="16"/>
            <w:u w:val="single" w:color="auto"/>
            <w:color w:val="0000FF"/>
          </w:rPr>
          <w:t>Fourth Amendment to Credit Agreement, dated as of May 9, 2024, by and among Caesars Entertainment, Inc., the</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lenders party thereto and JPMorgan Chase Bank, N.A., as administrative agent.</w:t>
        </w:r>
      </w:hyperlink>
    </w:p>
    <w:p>
      <w:pPr>
        <w:spacing w:after="0" w:line="70" w:lineRule="exact"/>
        <w:rPr>
          <w:sz w:val="20"/>
          <w:szCs w:val="20"/>
          <w:color w:val="auto"/>
        </w:rPr>
      </w:pPr>
    </w:p>
    <w:p>
      <w:pPr>
        <w:ind w:left="900" w:hanging="685"/>
        <w:spacing w:after="0" w:line="280"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10.34</w:t>
      </w:r>
      <w:r>
        <w:rPr>
          <w:sz w:val="20"/>
          <w:szCs w:val="20"/>
          <w:color w:val="auto"/>
        </w:rPr>
        <w:tab/>
      </w:r>
      <w:hyperlink r:id="rId183">
        <w:r>
          <w:rPr>
            <w:rFonts w:ascii="Times New Roman" w:cs="Times New Roman" w:eastAsia="Times New Roman" w:hAnsi="Times New Roman"/>
            <w:sz w:val="16"/>
            <w:szCs w:val="16"/>
            <w:u w:val="single" w:color="auto"/>
            <w:color w:val="0000FF"/>
          </w:rPr>
          <w:t>Fifth Amendment to Credit Agreement, dated as of November 25, 2024, by and among Caesars Entertainment, Inc., the</w:t>
        </w:r>
      </w:hyperlink>
      <w:r>
        <w:rPr>
          <w:rFonts w:ascii="Times New Roman" w:cs="Times New Roman" w:eastAsia="Times New Roman" w:hAnsi="Times New Roman"/>
          <w:sz w:val="16"/>
          <w:szCs w:val="16"/>
          <w:u w:val="single" w:color="auto"/>
          <w:color w:val="0000FF"/>
        </w:rPr>
        <w:t xml:space="preserve"> </w:t>
      </w:r>
      <w:hyperlink r:id="rId183">
        <w:r>
          <w:rPr>
            <w:rFonts w:ascii="Times New Roman" w:cs="Times New Roman" w:eastAsia="Times New Roman" w:hAnsi="Times New Roman"/>
            <w:sz w:val="16"/>
            <w:szCs w:val="16"/>
            <w:u w:val="single" w:color="auto"/>
            <w:color w:val="0000FF"/>
          </w:rPr>
          <w:t>lenders party thereto and JPMorgan Chase Bank, N.A., as administrative agent.</w:t>
        </w:r>
      </w:hyperlink>
    </w:p>
    <w:p>
      <w:pPr>
        <w:spacing w:after="0" w:line="20" w:lineRule="exact"/>
        <w:rPr>
          <w:sz w:val="20"/>
          <w:szCs w:val="20"/>
          <w:color w:val="auto"/>
        </w:rPr>
      </w:pPr>
      <w:r>
        <w:rPr>
          <w:sz w:val="20"/>
          <w:szCs w:val="20"/>
          <w:color w:val="auto"/>
        </w:rPr>
        <w:br w:type="column"/>
      </w: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July 21, 2020.</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November 10, 2021.</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January 27, 2022.</w:t>
      </w:r>
    </w:p>
    <w:p>
      <w:pPr>
        <w:spacing w:after="0" w:line="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October 5, 2022.</w:t>
      </w:r>
    </w:p>
    <w:p>
      <w:pPr>
        <w:spacing w:after="0" w:line="5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Previously filed on Form 8-K filed on May 9, 2024.</w:t>
      </w:r>
    </w:p>
    <w:p>
      <w:pPr>
        <w:spacing w:after="0" w:line="13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November 25, 2024.</w:t>
      </w:r>
    </w:p>
    <w:p>
      <w:pPr>
        <w:spacing w:after="0" w:line="200" w:lineRule="exact"/>
        <w:rPr>
          <w:sz w:val="20"/>
          <w:szCs w:val="20"/>
          <w:color w:val="auto"/>
        </w:rPr>
      </w:pPr>
    </w:p>
    <w:p>
      <w:pPr>
        <w:sectPr>
          <w:pgSz w:w="11900" w:h="16838" w:orient="portrait"/>
          <w:cols w:equalWidth="0" w:num="2">
            <w:col w:w="8680" w:space="140"/>
            <w:col w:w="2320"/>
          </w:cols>
          <w:pgMar w:left="320" w:top="1154" w:right="4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4" w:right="4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75"/>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8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gridSpan w:val="13"/>
          </w:tcPr>
          <w:p>
            <w:pPr>
              <w:spacing w:after="0" w:line="183"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Incremental Assumption Agreement No. 2, dated as of February 6, 2023, by and among Caesars Entertainment, Inc.,</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the subsidiary guarantors party thereto, the lenders party thereto and JPMorgan Chase Bank, N.A., as administrative</w:t>
              </w:r>
            </w:hyperlink>
          </w:p>
        </w:tc>
        <w:tc>
          <w:tcPr>
            <w:tcW w:w="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8"/>
              </w:rPr>
            </w:pPr>
            <w:hyperlink r:id="rId185">
              <w:r>
                <w:rPr>
                  <w:rFonts w:ascii="Times New Roman" w:cs="Times New Roman" w:eastAsia="Times New Roman" w:hAnsi="Times New Roman"/>
                  <w:sz w:val="16"/>
                  <w:szCs w:val="16"/>
                  <w:color w:val="0000FF"/>
                  <w:w w:val="98"/>
                </w:rPr>
                <w:t>agent.</w:t>
              </w:r>
            </w:hyperlink>
          </w:p>
        </w:tc>
        <w:tc>
          <w:tcPr>
            <w:tcW w:w="7460" w:type="dxa"/>
            <w:vAlign w:val="bottom"/>
            <w:gridSpan w:val="12"/>
          </w:tcPr>
          <w:p>
            <w:pPr>
              <w:spacing w:after="0"/>
              <w:rPr>
                <w:sz w:val="15"/>
                <w:szCs w:val="15"/>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3"/>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Incremental Assumption Agreement No. 3, dated as of February 6, 2024, by and among Caesars Entertainment, Inc.,</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the subsidiary guarantors party thereto, the lenders party thereto and JPMorgan Chase Bank, N.A., as administrative</w:t>
              </w:r>
            </w:hyperlink>
          </w:p>
        </w:tc>
        <w:tc>
          <w:tcPr>
            <w:tcW w:w="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8"/>
              </w:rPr>
            </w:pPr>
            <w:hyperlink r:id="rId186">
              <w:r>
                <w:rPr>
                  <w:rFonts w:ascii="Times New Roman" w:cs="Times New Roman" w:eastAsia="Times New Roman" w:hAnsi="Times New Roman"/>
                  <w:sz w:val="16"/>
                  <w:szCs w:val="16"/>
                  <w:color w:val="0000FF"/>
                  <w:w w:val="98"/>
                </w:rPr>
                <w:t>agent.</w:t>
              </w:r>
            </w:hyperlink>
          </w:p>
        </w:tc>
        <w:tc>
          <w:tcPr>
            <w:tcW w:w="7460" w:type="dxa"/>
            <w:vAlign w:val="bottom"/>
            <w:gridSpan w:val="12"/>
          </w:tcPr>
          <w:p>
            <w:pPr>
              <w:spacing w:after="0"/>
              <w:rPr>
                <w:sz w:val="15"/>
                <w:szCs w:val="15"/>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3"/>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Caesars Entertainment Corporation Amended and Restated Escrow Agreement, dated as of December 12, 2016,</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between Caesars Entertainment Corporation and Wells Fargo Bank, N.A.</w:t>
              </w:r>
            </w:hyperlink>
          </w:p>
        </w:tc>
        <w:tc>
          <w:tcPr>
            <w:tcW w:w="304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79"/>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3"/>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Amended and Restated Casino Operating Contract, dated April 1, 2020, by and between Jazz Casino Company, L.L.C.</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and the State of Louisiana, by and through the Louisiana Gaming Control Board.</w:t>
              </w:r>
            </w:hyperlink>
          </w:p>
        </w:tc>
        <w:tc>
          <w:tcPr>
            <w:tcW w:w="2540" w:type="dxa"/>
            <w:vAlign w:val="bottom"/>
            <w:tcBorders>
              <w:top w:val="single" w:sz="8" w:color="0000FF"/>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79"/>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3"/>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First Amendment to the Amended and Restated Casino Operating Contract, made and entered into as of April 9, 2020,</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and made effective as of April 1, 2020, by and between Jazz Casino Company, L.L.C. and the State of Louisiana, by</w:t>
              </w:r>
            </w:hyperlink>
          </w:p>
        </w:tc>
        <w:tc>
          <w:tcPr>
            <w:tcW w:w="80" w:type="dxa"/>
            <w:vAlign w:val="bottom"/>
            <w:gridSpan w:val="4"/>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and through the Louisiana Gaming Control Board.</w:t>
              </w:r>
            </w:hyperlink>
          </w:p>
        </w:tc>
        <w:tc>
          <w:tcPr>
            <w:tcW w:w="4580" w:type="dxa"/>
            <w:vAlign w:val="bottom"/>
            <w:gridSpan w:val="10"/>
          </w:tcPr>
          <w:p>
            <w:pPr>
              <w:spacing w:after="0"/>
              <w:rPr>
                <w:sz w:val="15"/>
                <w:szCs w:val="15"/>
                <w:color w:val="auto"/>
              </w:rPr>
            </w:pPr>
          </w:p>
        </w:tc>
      </w:tr>
      <w:tr>
        <w:trPr>
          <w:trHeight w:val="264"/>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10.40†</w:t>
            </w:r>
          </w:p>
        </w:tc>
        <w:tc>
          <w:tcPr>
            <w:tcW w:w="20" w:type="dxa"/>
            <w:vAlign w:val="bottom"/>
          </w:tcPr>
          <w:p>
            <w:pPr>
              <w:spacing w:after="0"/>
              <w:rPr>
                <w:sz w:val="22"/>
                <w:szCs w:val="22"/>
                <w:color w:val="auto"/>
              </w:rPr>
            </w:pPr>
          </w:p>
        </w:tc>
        <w:tc>
          <w:tcPr>
            <w:tcW w:w="50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Caesars Entertainment Corporation Executive Supplemental Savings Plan III.</w:t>
              </w:r>
            </w:hyperlink>
          </w:p>
        </w:tc>
        <w:tc>
          <w:tcPr>
            <w:tcW w:w="2820" w:type="dxa"/>
            <w:vAlign w:val="bottom"/>
            <w:gridSpan w:val="8"/>
          </w:tcPr>
          <w:p>
            <w:pPr>
              <w:spacing w:after="0"/>
              <w:rPr>
                <w:sz w:val="22"/>
                <w:szCs w:val="22"/>
                <w:color w:val="auto"/>
              </w:rPr>
            </w:pPr>
          </w:p>
        </w:tc>
      </w:tr>
      <w:tr>
        <w:trPr>
          <w:trHeight w:val="668"/>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10.41†</w:t>
            </w:r>
          </w:p>
        </w:tc>
        <w:tc>
          <w:tcPr>
            <w:tcW w:w="20" w:type="dxa"/>
            <w:vAlign w:val="bottom"/>
          </w:tcPr>
          <w:p>
            <w:pPr>
              <w:spacing w:after="0"/>
              <w:rPr>
                <w:sz w:val="24"/>
                <w:szCs w:val="24"/>
                <w:color w:val="auto"/>
              </w:rPr>
            </w:pPr>
          </w:p>
        </w:tc>
        <w:tc>
          <w:tcPr>
            <w:tcW w:w="538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Caesars Entertainment Corporation Outside Director Deferred Compensation Plan.</w:t>
              </w:r>
            </w:hyperlink>
          </w:p>
        </w:tc>
        <w:tc>
          <w:tcPr>
            <w:tcW w:w="2480" w:type="dxa"/>
            <w:vAlign w:val="bottom"/>
            <w:gridSpan w:val="6"/>
          </w:tcPr>
          <w:p>
            <w:pPr>
              <w:spacing w:after="0"/>
              <w:rPr>
                <w:sz w:val="24"/>
                <w:szCs w:val="24"/>
                <w:color w:val="auto"/>
              </w:rPr>
            </w:pPr>
          </w:p>
        </w:tc>
      </w:tr>
      <w:tr>
        <w:trPr>
          <w:trHeight w:val="68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10.42†</w:t>
            </w:r>
          </w:p>
        </w:tc>
        <w:tc>
          <w:tcPr>
            <w:tcW w:w="20" w:type="dxa"/>
            <w:vAlign w:val="bottom"/>
          </w:tcPr>
          <w:p>
            <w:pPr>
              <w:spacing w:after="0"/>
              <w:rPr>
                <w:sz w:val="24"/>
                <w:szCs w:val="24"/>
                <w:color w:val="auto"/>
              </w:rPr>
            </w:pPr>
          </w:p>
        </w:tc>
        <w:tc>
          <w:tcPr>
            <w:tcW w:w="7860" w:type="dxa"/>
            <w:vAlign w:val="bottom"/>
            <w:gridSpan w:val="13"/>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Caesars Entertainment, Inc. Second Amended and Restated 2015 Equity Incentive Plan</w:t>
              </w:r>
            </w:hyperlink>
          </w:p>
        </w:tc>
      </w:tr>
      <w:tr>
        <w:trPr>
          <w:trHeight w:val="399"/>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10.43†</w:t>
            </w:r>
          </w:p>
        </w:tc>
        <w:tc>
          <w:tcPr>
            <w:tcW w:w="20" w:type="dxa"/>
            <w:vAlign w:val="bottom"/>
          </w:tcPr>
          <w:p>
            <w:pPr>
              <w:spacing w:after="0"/>
              <w:rPr>
                <w:sz w:val="24"/>
                <w:szCs w:val="24"/>
                <w:color w:val="auto"/>
              </w:rPr>
            </w:pPr>
          </w:p>
        </w:tc>
        <w:tc>
          <w:tcPr>
            <w:tcW w:w="566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Form of Director Indemnification Agreement.</w:t>
              </w:r>
            </w:hyperlink>
          </w:p>
        </w:tc>
        <w:tc>
          <w:tcPr>
            <w:tcW w:w="2200" w:type="dxa"/>
            <w:vAlign w:val="bottom"/>
            <w:gridSpan w:val="5"/>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15513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5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February 6, 2023.</w:t>
      </w:r>
    </w:p>
    <w:p>
      <w:pPr>
        <w:spacing w:after="0" w:line="25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February 7, 2024.</w:t>
      </w:r>
    </w:p>
    <w:p>
      <w:pPr>
        <w:spacing w:after="0" w:line="25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Previously filed on Form 8-K filed by Caesars Holdings, Inc. on October 13, 2017.</w:t>
      </w:r>
    </w:p>
    <w:p>
      <w:pPr>
        <w:spacing w:after="0" w:line="63"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Previously filed on Form 8-K filed by Caesars Holdings, Inc. on April 6, 2020.</w:t>
      </w:r>
    </w:p>
    <w:p>
      <w:pPr>
        <w:spacing w:after="0" w:line="6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Previously filed on Form 8-K/A filed by Caesars Holdings, Inc. on April 14, 2020.</w:t>
      </w:r>
    </w:p>
    <w:p>
      <w:pPr>
        <w:spacing w:after="0" w:line="6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Previously filed on Form S-8 filed by Caesars Holdings, Inc. on December 13, 2018.</w:t>
      </w:r>
    </w:p>
    <w:p>
      <w:pPr>
        <w:spacing w:after="0" w:line="6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Previously filed on Form S-8 filed by Caesars Holdings, Inc. on December 13, 2018.</w:t>
      </w:r>
    </w:p>
    <w:p>
      <w:pPr>
        <w:spacing w:after="0" w:line="4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Previously filed on Form 8-K filed on June 14, 2024.</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November 9, 2020.</w:t>
      </w:r>
    </w:p>
    <w:p>
      <w:pPr>
        <w:spacing w:after="0" w:line="57" w:lineRule="exact"/>
        <w:rPr>
          <w:sz w:val="20"/>
          <w:szCs w:val="20"/>
          <w:color w:val="auto"/>
        </w:rPr>
      </w:pPr>
    </w:p>
    <w:p>
      <w:pPr>
        <w:sectPr>
          <w:pgSz w:w="11900" w:h="16838" w:orient="portrait"/>
          <w:cols w:equalWidth="0" w:num="2">
            <w:col w:w="8700" w:space="120"/>
            <w:col w:w="2320"/>
          </w:cols>
          <w:pgMar w:left="320" w:top="1154" w:right="439" w:bottom="1440" w:gutter="0" w:footer="0" w:header="0"/>
        </w:sectPr>
      </w:pPr>
    </w:p>
    <w:p>
      <w:pPr>
        <w:ind w:left="180"/>
        <w:spacing w:after="0"/>
        <w:rPr>
          <w:sz w:val="20"/>
          <w:szCs w:val="20"/>
          <w:color w:val="auto"/>
        </w:rPr>
      </w:pPr>
      <w:r>
        <w:rPr>
          <w:rFonts w:ascii="Times New Roman" w:cs="Times New Roman" w:eastAsia="Times New Roman" w:hAnsi="Times New Roman"/>
          <w:sz w:val="16"/>
          <w:szCs w:val="16"/>
          <w:color w:val="auto"/>
        </w:rPr>
        <w:t>10.44†</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10.45†</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10.46†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8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Form of Director Restricted Stock Unit Award Agreement pursuant to the Eldorado Resorts, Inc. 2015 Equity Incentive</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Filed herewith</w:t>
            </w:r>
          </w:p>
        </w:tc>
      </w:tr>
      <w:tr>
        <w:trPr>
          <w:trHeight w:val="169"/>
        </w:trPr>
        <w:tc>
          <w:tcPr>
            <w:tcW w:w="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8"/>
              </w:rPr>
              <w:t>Plan.</w:t>
            </w:r>
          </w:p>
        </w:tc>
        <w:tc>
          <w:tcPr>
            <w:tcW w:w="74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0"/>
        </w:trPr>
        <w:tc>
          <w:tcPr>
            <w:tcW w:w="78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Form of Restricted Stock Unit Award Agreement (Time-Based) pursuant to the Amended &amp; Restated 2015 Equity</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Filed herewith</w:t>
            </w:r>
          </w:p>
        </w:tc>
      </w:tr>
      <w:tr>
        <w:trPr>
          <w:trHeight w:val="169"/>
        </w:trPr>
        <w:tc>
          <w:tcPr>
            <w:tcW w:w="9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99"/>
              </w:rPr>
              <w:t>Incentive Plan.</w:t>
            </w:r>
          </w:p>
        </w:tc>
        <w:tc>
          <w:tcPr>
            <w:tcW w:w="682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77"/>
        </w:trPr>
        <w:tc>
          <w:tcPr>
            <w:tcW w:w="7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Form of Restricted Stock Unit Award Agreement Performance-Based (EBITDA) pursuant to the Amended &amp; Restated</w:t>
            </w:r>
          </w:p>
        </w:tc>
        <w:tc>
          <w:tcPr>
            <w:tcW w:w="140" w:type="dxa"/>
            <w:vAlign w:val="bottom"/>
            <w:gridSpan w:val="3"/>
          </w:tcPr>
          <w:p>
            <w:pPr>
              <w:spacing w:after="0"/>
              <w:rPr>
                <w:sz w:val="24"/>
                <w:szCs w:val="2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Filed herewith</w:t>
            </w:r>
          </w:p>
        </w:tc>
      </w:tr>
      <w:tr>
        <w:trPr>
          <w:trHeight w:val="142"/>
        </w:trPr>
        <w:tc>
          <w:tcPr>
            <w:tcW w:w="182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2015 Equity Incentive Plan.</w:t>
            </w:r>
          </w:p>
        </w:tc>
        <w:tc>
          <w:tcPr>
            <w:tcW w:w="588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020" w:type="dxa"/>
            <w:vAlign w:val="bottom"/>
          </w:tcPr>
          <w:p>
            <w:pPr>
              <w:spacing w:after="0"/>
              <w:rPr>
                <w:sz w:val="12"/>
                <w:szCs w:val="12"/>
                <w:color w:val="auto"/>
              </w:rPr>
            </w:pPr>
          </w:p>
        </w:tc>
      </w:tr>
    </w:tbl>
    <w:p>
      <w:pPr>
        <w:spacing w:after="0" w:line="81" w:lineRule="exact"/>
        <w:rPr>
          <w:sz w:val="20"/>
          <w:szCs w:val="20"/>
          <w:color w:val="auto"/>
        </w:rPr>
      </w:pPr>
    </w:p>
    <w:p>
      <w:pPr>
        <w:sectPr>
          <w:pgSz w:w="11900" w:h="16838" w:orient="portrait"/>
          <w:cols w:equalWidth="0" w:num="2">
            <w:col w:w="620" w:space="280"/>
            <w:col w:w="10240"/>
          </w:cols>
          <w:pgMar w:left="320" w:top="1154" w:right="4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10.47†</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10.48†</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10.49†</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10.50†</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10.51†</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10.52†</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10.53†</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10.54†</w:t>
      </w: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10.55†</w:t>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Times New Roman" w:cs="Times New Roman" w:eastAsia="Times New Roman" w:hAnsi="Times New Roman"/>
          <w:sz w:val="16"/>
          <w:szCs w:val="16"/>
          <w:u w:val="single" w:color="auto"/>
          <w:color w:val="0000FF"/>
        </w:rPr>
        <w:t>Form of Restricted Stock Unit Award Agreement Performance-Based (TSR) pursuant to the Amended &amp; Restated 2015 Equity Incentive Plan.</w:t>
      </w:r>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195">
        <w:r>
          <w:rPr>
            <w:rFonts w:ascii="Times New Roman" w:cs="Times New Roman" w:eastAsia="Times New Roman" w:hAnsi="Times New Roman"/>
            <w:sz w:val="16"/>
            <w:szCs w:val="16"/>
            <w:u w:val="single" w:color="auto"/>
            <w:color w:val="0000FF"/>
          </w:rPr>
          <w:t>Amended and Restated Executive Employment Agreement, dated as of August 10, 2022, by and between Caesars</w:t>
        </w:r>
      </w:hyperlink>
      <w:r>
        <w:rPr>
          <w:rFonts w:ascii="Times New Roman" w:cs="Times New Roman" w:eastAsia="Times New Roman" w:hAnsi="Times New Roman"/>
          <w:sz w:val="16"/>
          <w:szCs w:val="16"/>
          <w:u w:val="single" w:color="auto"/>
          <w:color w:val="0000FF"/>
        </w:rPr>
        <w:t xml:space="preserve"> </w:t>
      </w:r>
      <w:hyperlink r:id="rId195">
        <w:r>
          <w:rPr>
            <w:rFonts w:ascii="Times New Roman" w:cs="Times New Roman" w:eastAsia="Times New Roman" w:hAnsi="Times New Roman"/>
            <w:sz w:val="16"/>
            <w:szCs w:val="16"/>
            <w:u w:val="single" w:color="auto"/>
            <w:color w:val="0000FF"/>
          </w:rPr>
          <w:t>Enterprise Services, LLC and Bret Yunker.</w:t>
        </w:r>
      </w:hyperlink>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First Amendment to the Amended and Restated Executive Employment Agreement, dated as of January 26, 2024, by</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and between Caesars Enterprise Services, LLC and Bret Yunker.</w:t>
        </w:r>
      </w:hyperlink>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0000FF"/>
        </w:rPr>
        <w:t>Amended and Restated Executive Employment Agreement, dated as of August 10, 2022, by and between Caesars Enterprise Services, LLC and Stephanie Lepori.</w:t>
      </w:r>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197">
        <w:r>
          <w:rPr>
            <w:rFonts w:ascii="Times New Roman" w:cs="Times New Roman" w:eastAsia="Times New Roman" w:hAnsi="Times New Roman"/>
            <w:sz w:val="16"/>
            <w:szCs w:val="16"/>
            <w:u w:val="single" w:color="auto"/>
            <w:color w:val="0000FF"/>
          </w:rPr>
          <w:t>First Amendment to the Amended and Restated Executive Employment Agreement, dated as of January 26, 2024, by</w:t>
        </w:r>
      </w:hyperlink>
      <w:r>
        <w:rPr>
          <w:rFonts w:ascii="Times New Roman" w:cs="Times New Roman" w:eastAsia="Times New Roman" w:hAnsi="Times New Roman"/>
          <w:sz w:val="16"/>
          <w:szCs w:val="16"/>
          <w:u w:val="single" w:color="auto"/>
          <w:color w:val="0000FF"/>
        </w:rPr>
        <w:t xml:space="preserve"> </w:t>
      </w:r>
      <w:hyperlink r:id="rId197">
        <w:r>
          <w:rPr>
            <w:rFonts w:ascii="Times New Roman" w:cs="Times New Roman" w:eastAsia="Times New Roman" w:hAnsi="Times New Roman"/>
            <w:sz w:val="16"/>
            <w:szCs w:val="16"/>
            <w:u w:val="single" w:color="auto"/>
            <w:color w:val="0000FF"/>
          </w:rPr>
          <w:t>and between Caesars Enterprise Services, LLC and Stephanie Lepori.</w:t>
        </w:r>
      </w:hyperlink>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u w:val="single" w:color="auto"/>
            <w:color w:val="0000FF"/>
          </w:rPr>
          <w:t>Amended and Restated Executive Employment Agreement, dated as of August 10, 2022, by and between Caesars</w:t>
        </w:r>
      </w:hyperlink>
      <w:r>
        <w:rPr>
          <w:rFonts w:ascii="Times New Roman" w:cs="Times New Roman" w:eastAsia="Times New Roman" w:hAnsi="Times New Roman"/>
          <w:sz w:val="16"/>
          <w:szCs w:val="16"/>
          <w:u w:val="single" w:color="auto"/>
          <w:color w:val="0000FF"/>
        </w:rPr>
        <w:t xml:space="preserve"> </w:t>
      </w:r>
      <w:hyperlink r:id="rId198">
        <w:r>
          <w:rPr>
            <w:rFonts w:ascii="Times New Roman" w:cs="Times New Roman" w:eastAsia="Times New Roman" w:hAnsi="Times New Roman"/>
            <w:sz w:val="16"/>
            <w:szCs w:val="16"/>
            <w:u w:val="single" w:color="auto"/>
            <w:color w:val="0000FF"/>
          </w:rPr>
          <w:t>Enterprise Services, LLC and Thomas Reeg.</w:t>
        </w:r>
      </w:hyperlink>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199">
        <w:r>
          <w:rPr>
            <w:rFonts w:ascii="Times New Roman" w:cs="Times New Roman" w:eastAsia="Times New Roman" w:hAnsi="Times New Roman"/>
            <w:sz w:val="16"/>
            <w:szCs w:val="16"/>
            <w:u w:val="single" w:color="auto"/>
            <w:color w:val="0000FF"/>
          </w:rPr>
          <w:t>First Amendment to the Amended and Restated Executive Employment Agreement, dated as of January 26, 2024, by</w:t>
        </w:r>
      </w:hyperlink>
      <w:r>
        <w:rPr>
          <w:rFonts w:ascii="Times New Roman" w:cs="Times New Roman" w:eastAsia="Times New Roman" w:hAnsi="Times New Roman"/>
          <w:sz w:val="16"/>
          <w:szCs w:val="16"/>
          <w:u w:val="single" w:color="auto"/>
          <w:color w:val="0000FF"/>
        </w:rPr>
        <w:t xml:space="preserve"> </w:t>
      </w:r>
      <w:hyperlink r:id="rId199">
        <w:r>
          <w:rPr>
            <w:rFonts w:ascii="Times New Roman" w:cs="Times New Roman" w:eastAsia="Times New Roman" w:hAnsi="Times New Roman"/>
            <w:sz w:val="16"/>
            <w:szCs w:val="16"/>
            <w:u w:val="single" w:color="auto"/>
            <w:color w:val="0000FF"/>
          </w:rPr>
          <w:t>and between Caesars Enterprise Services, LLC and Thomas Reeg.</w:t>
        </w:r>
      </w:hyperlink>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200">
        <w:r>
          <w:rPr>
            <w:rFonts w:ascii="Times New Roman" w:cs="Times New Roman" w:eastAsia="Times New Roman" w:hAnsi="Times New Roman"/>
            <w:sz w:val="16"/>
            <w:szCs w:val="16"/>
            <w:u w:val="single" w:color="auto"/>
            <w:color w:val="0000FF"/>
          </w:rPr>
          <w:t>Restricted Stock Unit Award Agreement by and between Caesars Entertainment, Inc. and Thomas R. Reeg dated</w:t>
        </w:r>
      </w:hyperlink>
      <w:r>
        <w:rPr>
          <w:rFonts w:ascii="Times New Roman" w:cs="Times New Roman" w:eastAsia="Times New Roman" w:hAnsi="Times New Roman"/>
          <w:sz w:val="16"/>
          <w:szCs w:val="16"/>
          <w:u w:val="single" w:color="auto"/>
          <w:color w:val="0000FF"/>
        </w:rPr>
        <w:t xml:space="preserve"> </w:t>
      </w:r>
      <w:hyperlink r:id="rId200">
        <w:r>
          <w:rPr>
            <w:rFonts w:ascii="Times New Roman" w:cs="Times New Roman" w:eastAsia="Times New Roman" w:hAnsi="Times New Roman"/>
            <w:sz w:val="16"/>
            <w:szCs w:val="16"/>
            <w:u w:val="single" w:color="auto"/>
            <w:color w:val="0000FF"/>
          </w:rPr>
          <w:t>February 25, 2022.</w:t>
        </w:r>
      </w:hyperlink>
    </w:p>
    <w:p>
      <w:pPr>
        <w:spacing w:after="0" w:line="70"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201">
        <w:r>
          <w:rPr>
            <w:rFonts w:ascii="Times New Roman" w:cs="Times New Roman" w:eastAsia="Times New Roman" w:hAnsi="Times New Roman"/>
            <w:sz w:val="16"/>
            <w:szCs w:val="16"/>
            <w:u w:val="single" w:color="auto"/>
            <w:color w:val="0000FF"/>
          </w:rPr>
          <w:t>Amended and Restated Executive Employment Agreement, dated as of August 10, 2022, by and between Caesars</w:t>
        </w:r>
      </w:hyperlink>
      <w:r>
        <w:rPr>
          <w:rFonts w:ascii="Times New Roman" w:cs="Times New Roman" w:eastAsia="Times New Roman" w:hAnsi="Times New Roman"/>
          <w:sz w:val="16"/>
          <w:szCs w:val="16"/>
          <w:u w:val="single" w:color="auto"/>
          <w:color w:val="0000FF"/>
        </w:rPr>
        <w:t xml:space="preserve"> </w:t>
      </w:r>
      <w:hyperlink r:id="rId201">
        <w:r>
          <w:rPr>
            <w:rFonts w:ascii="Times New Roman" w:cs="Times New Roman" w:eastAsia="Times New Roman" w:hAnsi="Times New Roman"/>
            <w:sz w:val="16"/>
            <w:szCs w:val="16"/>
            <w:u w:val="single" w:color="auto"/>
            <w:color w:val="0000FF"/>
          </w:rPr>
          <w:t>Enterprise Services, LLC and Anthony Carano.</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November 2, 2022.</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April 30,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April 30, 2024.</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November 2, 2022.</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April 30, 2024.</w:t>
      </w:r>
    </w:p>
    <w:p>
      <w:pPr>
        <w:spacing w:after="0" w:line="13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Previously filed on Form 8-K filed on March 1, 2022.</w:t>
      </w:r>
    </w:p>
    <w:p>
      <w:pPr>
        <w:spacing w:after="0" w:line="5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November 2, 2022.</w:t>
      </w:r>
    </w:p>
    <w:p>
      <w:pPr>
        <w:spacing w:after="0" w:line="267" w:lineRule="exact"/>
        <w:rPr>
          <w:sz w:val="20"/>
          <w:szCs w:val="20"/>
          <w:color w:val="auto"/>
        </w:rPr>
      </w:pPr>
    </w:p>
    <w:p>
      <w:pPr>
        <w:sectPr>
          <w:pgSz w:w="11900" w:h="16838" w:orient="portrait"/>
          <w:cols w:equalWidth="0" w:num="3">
            <w:col w:w="620" w:space="280"/>
            <w:col w:w="7780" w:space="140"/>
            <w:col w:w="2320"/>
          </w:cols>
          <w:pgMar w:left="320" w:top="1154" w:right="4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40"/>
          </w:cols>
          <w:pgMar w:left="320" w:top="1154" w:right="439" w:bottom="1440" w:gutter="0" w:footer="0" w:header="0"/>
          <w:type w:val="continuous"/>
        </w:sectPr>
      </w:pPr>
    </w:p>
    <w:p>
      <w:pPr>
        <w:spacing w:after="0" w:line="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4" w:right="4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75"/>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880" w:type="dxa"/>
            <w:vAlign w:val="bottom"/>
            <w:gridSpan w:val="12"/>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12"/>
          </w:tcPr>
          <w:p>
            <w:pPr>
              <w:spacing w:after="0" w:line="183"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First Amendment to the Amended and Restated Executive Employment Agreement, dated as of January 26, 2024, by</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and between Caesars Enterprise Services, LLC and Anthony Carano.</w:t>
              </w:r>
            </w:hyperlink>
          </w:p>
        </w:tc>
        <w:tc>
          <w:tcPr>
            <w:tcW w:w="338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10.57†</w:t>
            </w:r>
          </w:p>
        </w:tc>
        <w:tc>
          <w:tcPr>
            <w:tcW w:w="20" w:type="dxa"/>
            <w:vAlign w:val="bottom"/>
          </w:tcPr>
          <w:p>
            <w:pPr>
              <w:spacing w:after="0"/>
              <w:rPr>
                <w:sz w:val="24"/>
                <w:szCs w:val="24"/>
                <w:color w:val="auto"/>
              </w:rPr>
            </w:pPr>
          </w:p>
        </w:tc>
        <w:tc>
          <w:tcPr>
            <w:tcW w:w="7880" w:type="dxa"/>
            <w:vAlign w:val="bottom"/>
            <w:gridSpan w:val="12"/>
          </w:tcPr>
          <w:p>
            <w:pPr>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Amended and Restated Executive Employment Agreement, dated as of August 10, 2022, by and between Caesars</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Enterprise Services, LLC and Edmund L. Quatmann, Jr.</w:t>
              </w:r>
            </w:hyperlink>
          </w:p>
        </w:tc>
        <w:tc>
          <w:tcPr>
            <w:tcW w:w="41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10.58†</w:t>
            </w:r>
          </w:p>
        </w:tc>
        <w:tc>
          <w:tcPr>
            <w:tcW w:w="20" w:type="dxa"/>
            <w:vAlign w:val="bottom"/>
          </w:tcPr>
          <w:p>
            <w:pPr>
              <w:spacing w:after="0"/>
              <w:rPr>
                <w:sz w:val="21"/>
                <w:szCs w:val="21"/>
                <w:color w:val="auto"/>
              </w:rPr>
            </w:pPr>
          </w:p>
        </w:tc>
        <w:tc>
          <w:tcPr>
            <w:tcW w:w="7880" w:type="dxa"/>
            <w:vAlign w:val="bottom"/>
            <w:gridSpan w:val="12"/>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First Amendment to the Amended and Restated Executive Employment Agreement, dated as of January 26, 2024, by</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and between Caesars Enterprise Services, LLC and Edmund L. Quatmann, Jr.</w:t>
              </w:r>
            </w:hyperlink>
          </w:p>
        </w:tc>
        <w:tc>
          <w:tcPr>
            <w:tcW w:w="2560" w:type="dxa"/>
            <w:vAlign w:val="bottom"/>
            <w:tcBorders>
              <w:top w:val="single" w:sz="8" w:color="0000FF"/>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3"/>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80" w:type="dxa"/>
            <w:vAlign w:val="bottom"/>
            <w:gridSpan w:val="12"/>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Amended and Restated Omnibus Amendment to Leases, dated as of October 27, 2020, by and among the entities listed</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on Schedule A attached thereto CPLV Property Owner LLC, Claudine Propco LLC, Harrah’s Joliet Landco LLC,</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gridSpan w:val="12"/>
          </w:tcPr>
          <w:p>
            <w:pPr>
              <w:spacing w:after="0" w:line="183"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CEOC, LLC, the entities listed on Schedule B attached thereto, Desert Palace LLC, Harrah’s Las Vegas, LLC, Des</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Plaines Development Limited Partnership and Propco TRS LLC.</w:t>
              </w:r>
            </w:hyperlink>
          </w:p>
        </w:tc>
        <w:tc>
          <w:tcPr>
            <w:tcW w:w="362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9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gridSpan w:val="12"/>
          </w:tcPr>
          <w:p>
            <w:pPr>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Third Amended and Restated Master Lease, dated as of November 13, 2023, by and among Tropicana Entertainment,</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Inc., IOC Black Hawk County, Inc., Isle of Capri Bettendorf, L.C. and GLP Capital L.P.</w:t>
              </w:r>
            </w:hyperlink>
          </w:p>
        </w:tc>
        <w:tc>
          <w:tcPr>
            <w:tcW w:w="60" w:type="dxa"/>
            <w:vAlign w:val="bottom"/>
            <w:gridSpan w:val="3"/>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15513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April 30, 2024.</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November 2, 2022.</w:t>
      </w:r>
    </w:p>
    <w:p>
      <w:pPr>
        <w:spacing w:after="0" w:line="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10-Q filed on April 30, 2024.</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Previously filed on Form 10-Q filed on November 9, 2020.</w:t>
      </w:r>
    </w:p>
    <w:p>
      <w:pPr>
        <w:spacing w:after="0" w:line="200" w:lineRule="exact"/>
        <w:rPr>
          <w:sz w:val="20"/>
          <w:szCs w:val="20"/>
          <w:color w:val="auto"/>
        </w:rPr>
      </w:pPr>
    </w:p>
    <w:p>
      <w:pPr>
        <w:spacing w:after="0" w:line="2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Previously filed on Form 10-K filed on February 20, 2024.</w:t>
      </w:r>
    </w:p>
    <w:p>
      <w:pPr>
        <w:spacing w:after="0" w:line="116" w:lineRule="exact"/>
        <w:rPr>
          <w:sz w:val="20"/>
          <w:szCs w:val="20"/>
          <w:color w:val="auto"/>
        </w:rPr>
      </w:pPr>
    </w:p>
    <w:p>
      <w:pPr>
        <w:sectPr>
          <w:pgSz w:w="11900" w:h="16838" w:orient="portrait"/>
          <w:cols w:equalWidth="0" w:num="2">
            <w:col w:w="8700" w:space="120"/>
            <w:col w:w="2320"/>
          </w:cols>
          <w:pgMar w:left="320" w:top="1154" w:right="439" w:bottom="1440" w:gutter="0" w:footer="0" w:header="0"/>
        </w:sectPr>
      </w:pPr>
    </w:p>
    <w:tbl>
      <w:tblPr>
        <w:tblLayout w:type="fixed"/>
        <w:tblInd w:w="220" w:type="dxa"/>
        <w:tblCellMar>
          <w:top w:w="0" w:type="dxa"/>
          <w:left w:w="0" w:type="dxa"/>
          <w:bottom w:w="0" w:type="dxa"/>
          <w:right w:w="0" w:type="dxa"/>
        </w:tblCellMar>
      </w:tblPr>
      <w:tr>
        <w:trPr>
          <w:trHeight w:val="184"/>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14.1</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Code of Ethics and Business Conduct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19.1</w:t>
            </w:r>
          </w:p>
        </w:tc>
        <w:tc>
          <w:tcPr>
            <w:tcW w:w="3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Policy on Insider Information and Insider Trading</w:t>
            </w:r>
          </w:p>
        </w:tc>
        <w:tc>
          <w:tcPr>
            <w:tcW w:w="3320" w:type="dxa"/>
            <w:vAlign w:val="bottom"/>
            <w:gridSpan w:val="6"/>
          </w:tcPr>
          <w:p>
            <w:pPr>
              <w:spacing w:after="0"/>
              <w:rPr>
                <w:sz w:val="21"/>
                <w:szCs w:val="21"/>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5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21.1</w:t>
            </w:r>
          </w:p>
        </w:tc>
        <w:tc>
          <w:tcPr>
            <w:tcW w:w="1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Subsidiaries of the Registrant</w:t>
            </w:r>
          </w:p>
        </w:tc>
        <w:tc>
          <w:tcPr>
            <w:tcW w:w="4640" w:type="dxa"/>
            <w:vAlign w:val="bottom"/>
            <w:gridSpan w:val="9"/>
          </w:tcPr>
          <w:p>
            <w:pPr>
              <w:spacing w:after="0"/>
              <w:rPr>
                <w:sz w:val="21"/>
                <w:szCs w:val="21"/>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63"/>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23.1</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Consent of Deloitte &amp; Touche LLP</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0"/>
        </w:trPr>
        <w:tc>
          <w:tcPr>
            <w:tcW w:w="6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31.1</w:t>
            </w: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vMerge w:val="restart"/>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line="20" w:lineRule="exact"/>
              <w:rPr>
                <w:sz w:val="1"/>
                <w:szCs w:val="1"/>
                <w:color w:val="auto"/>
              </w:rPr>
            </w:pPr>
          </w:p>
        </w:tc>
      </w:tr>
      <w:tr>
        <w:trPr>
          <w:trHeight w:val="277"/>
        </w:trPr>
        <w:tc>
          <w:tcPr>
            <w:tcW w:w="680" w:type="dxa"/>
            <w:vAlign w:val="bottom"/>
            <w:vMerge w:val="continue"/>
          </w:tcPr>
          <w:p>
            <w:pPr>
              <w:spacing w:after="0"/>
              <w:rPr>
                <w:sz w:val="24"/>
                <w:szCs w:val="24"/>
                <w:color w:val="auto"/>
              </w:rPr>
            </w:pPr>
          </w:p>
        </w:tc>
        <w:tc>
          <w:tcPr>
            <w:tcW w:w="51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 of Thomas R. Reeg pursuant to Rule 13a-14a and Rule 15d-14(a)</w:t>
            </w:r>
          </w:p>
        </w:tc>
        <w:tc>
          <w:tcPr>
            <w:tcW w:w="14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31.2</w:t>
            </w:r>
          </w:p>
        </w:tc>
        <w:tc>
          <w:tcPr>
            <w:tcW w:w="4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Bret Yunker pursuant to Rule 13a-14a and Rule 15d-14(a)</w:t>
            </w:r>
          </w:p>
        </w:tc>
        <w:tc>
          <w:tcPr>
            <w:tcW w:w="1760" w:type="dxa"/>
            <w:vAlign w:val="bottom"/>
            <w:gridSpan w:val="3"/>
          </w:tcPr>
          <w:p>
            <w:pPr>
              <w:spacing w:after="0"/>
              <w:rPr>
                <w:sz w:val="22"/>
                <w:szCs w:val="22"/>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5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32.1</w:t>
            </w:r>
          </w:p>
        </w:tc>
        <w:tc>
          <w:tcPr>
            <w:tcW w:w="4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Thomas R. Reeg in accordance with 18 U.S.C. Section 1350</w:t>
            </w:r>
          </w:p>
        </w:tc>
        <w:tc>
          <w:tcPr>
            <w:tcW w:w="1600" w:type="dxa"/>
            <w:vAlign w:val="bottom"/>
            <w:gridSpan w:val="2"/>
          </w:tcPr>
          <w:p>
            <w:pPr>
              <w:spacing w:after="0"/>
              <w:rPr>
                <w:sz w:val="21"/>
                <w:szCs w:val="21"/>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5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32.2</w:t>
            </w:r>
          </w:p>
        </w:tc>
        <w:tc>
          <w:tcPr>
            <w:tcW w:w="4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of Bret Yunker in accordance with 18 U.S.C. Section 1350</w:t>
            </w:r>
          </w:p>
        </w:tc>
        <w:tc>
          <w:tcPr>
            <w:tcW w:w="1900" w:type="dxa"/>
            <w:vAlign w:val="bottom"/>
            <w:gridSpan w:val="4"/>
          </w:tcPr>
          <w:p>
            <w:pPr>
              <w:spacing w:after="0"/>
              <w:rPr>
                <w:sz w:val="21"/>
                <w:szCs w:val="21"/>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5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97.1</w:t>
            </w:r>
          </w:p>
        </w:tc>
        <w:tc>
          <w:tcPr>
            <w:tcW w:w="4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Policy Relating to Recovery of Erroneously Awarded Compensation</w:t>
            </w:r>
          </w:p>
        </w:tc>
        <w:tc>
          <w:tcPr>
            <w:tcW w:w="2120" w:type="dxa"/>
            <w:vAlign w:val="bottom"/>
            <w:gridSpan w:val="5"/>
          </w:tcPr>
          <w:p>
            <w:pPr>
              <w:spacing w:after="0"/>
              <w:rPr>
                <w:sz w:val="21"/>
                <w:szCs w:val="21"/>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5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99.1</w:t>
            </w:r>
          </w:p>
        </w:tc>
        <w:tc>
          <w:tcPr>
            <w:tcW w:w="2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Gaming and Regulatory Overview</w:t>
            </w:r>
          </w:p>
        </w:tc>
        <w:tc>
          <w:tcPr>
            <w:tcW w:w="4280" w:type="dxa"/>
            <w:vAlign w:val="bottom"/>
            <w:gridSpan w:val="8"/>
          </w:tcPr>
          <w:p>
            <w:pPr>
              <w:spacing w:after="0"/>
              <w:rPr>
                <w:sz w:val="21"/>
                <w:szCs w:val="21"/>
                <w:color w:val="auto"/>
              </w:rPr>
            </w:pP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84"/>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101.1</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7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101.2</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7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101.3</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7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101.4</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7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101.5</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7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101.6</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r>
        <w:trPr>
          <w:trHeight w:val="270"/>
        </w:trPr>
        <w:tc>
          <w:tcPr>
            <w:tcW w:w="6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104</w:t>
            </w:r>
          </w:p>
        </w:tc>
        <w:tc>
          <w:tcPr>
            <w:tcW w:w="65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2340" w:type="dxa"/>
            <w:vAlign w:val="bottom"/>
          </w:tcPr>
          <w:p>
            <w:pPr>
              <w:ind w:left="1360"/>
              <w:spacing w:after="0"/>
              <w:rPr>
                <w:sz w:val="20"/>
                <w:szCs w:val="20"/>
                <w:color w:val="auto"/>
              </w:rPr>
            </w:pPr>
            <w:r>
              <w:rPr>
                <w:rFonts w:ascii="Times New Roman" w:cs="Times New Roman" w:eastAsia="Times New Roman" w:hAnsi="Times New Roman"/>
                <w:sz w:val="16"/>
                <w:szCs w:val="16"/>
                <w:color w:val="auto"/>
                <w:w w:val="99"/>
              </w:rPr>
              <w:t>Filed herewith.</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8" w:lineRule="exact"/>
        <w:rPr>
          <w:sz w:val="20"/>
          <w:szCs w:val="20"/>
          <w:color w:val="auto"/>
        </w:rPr>
      </w:pPr>
    </w:p>
    <w:p>
      <w:pPr>
        <w:ind w:left="820" w:hanging="794"/>
        <w:spacing w:after="0"/>
        <w:tabs>
          <w:tab w:leader="none" w:pos="8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pacing w:after="0" w:line="46" w:lineRule="exact"/>
        <w:rPr>
          <w:sz w:val="20"/>
          <w:szCs w:val="20"/>
          <w:color w:val="auto"/>
        </w:rPr>
      </w:pPr>
    </w:p>
    <w:p>
      <w:pPr>
        <w:ind w:left="820" w:hanging="794"/>
        <w:spacing w:after="0"/>
        <w:tabs>
          <w:tab w:leader="none" w:pos="8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pursuant to Item 601(a)(5) of Regulation S-K.</w:t>
      </w:r>
    </w:p>
    <w:p>
      <w:pPr>
        <w:spacing w:after="0" w:line="46" w:lineRule="exact"/>
        <w:rPr>
          <w:sz w:val="20"/>
          <w:szCs w:val="20"/>
          <w:color w:val="auto"/>
        </w:rPr>
      </w:pPr>
    </w:p>
    <w:p>
      <w:pPr>
        <w:ind w:left="820" w:right="340" w:hanging="794"/>
        <w:spacing w:after="0" w:line="280" w:lineRule="auto"/>
        <w:tabs>
          <w:tab w:leader="none" w:pos="8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Item 601(b)(10)(iv) of Regulation S-K because such information is (i) not material and (ii) could be competitively harmful if publicly disclosed.</w:t>
      </w: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BF2115"/>
        </w:rPr>
        <w:t>Item 16.</w:t>
      </w:r>
      <w:r>
        <w:rPr>
          <w:sz w:val="20"/>
          <w:szCs w:val="20"/>
          <w:color w:val="auto"/>
        </w:rPr>
        <w:tab/>
      </w:r>
      <w:r>
        <w:rPr>
          <w:rFonts w:ascii="Times New Roman" w:cs="Times New Roman" w:eastAsia="Times New Roman" w:hAnsi="Times New Roman"/>
          <w:sz w:val="21"/>
          <w:szCs w:val="21"/>
          <w:b w:val="1"/>
          <w:bCs w:val="1"/>
          <w:color w:val="BF2115"/>
        </w:rPr>
        <w:t>Form 10-K Summary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4" w:right="439" w:bottom="144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CAESARS ENTERTAINMENT, INC.</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R. Reeg</w:t>
            </w:r>
          </w:p>
        </w:tc>
      </w:tr>
      <w:tr>
        <w:trPr>
          <w:trHeight w:val="169"/>
        </w:trPr>
        <w:tc>
          <w:tcPr>
            <w:tcW w:w="6100" w:type="dxa"/>
            <w:vAlign w:val="bottom"/>
          </w:tcPr>
          <w:p>
            <w:pPr>
              <w:spacing w:after="0"/>
              <w:rPr>
                <w:sz w:val="14"/>
                <w:szCs w:val="14"/>
                <w:color w:val="auto"/>
              </w:rPr>
            </w:pPr>
          </w:p>
        </w:tc>
        <w:tc>
          <w:tcPr>
            <w:tcW w:w="5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Thomas R. Reeg</w:t>
            </w: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25, 2025</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7" w:lineRule="exact"/>
        <w:rPr>
          <w:sz w:val="20"/>
          <w:szCs w:val="20"/>
          <w:color w:val="auto"/>
        </w:rPr>
      </w:pPr>
    </w:p>
    <w:p>
      <w:pPr>
        <w:ind w:left="1560"/>
        <w:spacing w:after="0"/>
        <w:tabs>
          <w:tab w:leader="none" w:pos="6080" w:val="left"/>
          <w:tab w:leader="none" w:pos="98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Thomas R. Reeg</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Bret Yunker</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Stephanie D. Lepori</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Gary L. Carano</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Bonnie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Bonnie Biumi</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Jan Jones Blackhurst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Jan Jones Blackhurst</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99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Frank J. Fahrenkopf Jr.</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Kim Harris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Kim Harris Jones</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Don Kornstein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Don Kornstein</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Courtney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Courtney Mather</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Michael E. Pegram</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David P. Tomick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Chief Executive Officer (Principal Executive Officer) and</w:t>
      </w:r>
      <w:r>
        <w:rPr>
          <w:sz w:val="20"/>
          <w:szCs w:val="20"/>
          <w:color w:val="auto"/>
        </w:rPr>
        <w:tab/>
      </w:r>
      <w:r>
        <w:rPr>
          <w:rFonts w:ascii="Times New Roman" w:cs="Times New Roman" w:eastAsia="Times New Roman" w:hAnsi="Times New Roman"/>
          <w:sz w:val="17"/>
          <w:szCs w:val="17"/>
          <w:color w:val="auto"/>
        </w:rPr>
        <w:t>February 25,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78"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Chief Financial Officer (Principal Financial Officer)</w:t>
      </w:r>
      <w:r>
        <w:rPr>
          <w:sz w:val="20"/>
          <w:szCs w:val="20"/>
          <w:color w:val="auto"/>
        </w:rPr>
        <w:tab/>
      </w:r>
      <w:r>
        <w:rPr>
          <w:rFonts w:ascii="Times New Roman" w:cs="Times New Roman" w:eastAsia="Times New Roman" w:hAnsi="Times New Roman"/>
          <w:sz w:val="17"/>
          <w:szCs w:val="17"/>
          <w:color w:val="auto"/>
        </w:rPr>
        <w:t>February 25, 2025</w:t>
      </w:r>
    </w:p>
    <w:p>
      <w:pPr>
        <w:spacing w:after="0" w:line="387"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Chief Administrative and Accounting Officer (Principal</w:t>
      </w:r>
      <w:r>
        <w:rPr>
          <w:sz w:val="20"/>
          <w:szCs w:val="20"/>
          <w:color w:val="auto"/>
        </w:rPr>
        <w:tab/>
      </w:r>
      <w:r>
        <w:rPr>
          <w:rFonts w:ascii="Times New Roman" w:cs="Times New Roman" w:eastAsia="Times New Roman" w:hAnsi="Times New Roman"/>
          <w:sz w:val="17"/>
          <w:szCs w:val="17"/>
          <w:color w:val="auto"/>
        </w:rPr>
        <w:t>February 25,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78"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Executive Chairman of the Board</w:t>
      </w:r>
      <w:r>
        <w:rPr>
          <w:sz w:val="20"/>
          <w:szCs w:val="20"/>
          <w:color w:val="auto"/>
        </w:rPr>
        <w:tab/>
      </w:r>
      <w:r>
        <w:rPr>
          <w:rFonts w:ascii="Times New Roman" w:cs="Times New Roman" w:eastAsia="Times New Roman" w:hAnsi="Times New Roman"/>
          <w:sz w:val="17"/>
          <w:szCs w:val="17"/>
          <w:color w:val="auto"/>
        </w:rPr>
        <w:t>February 25, 2025</w:t>
      </w:r>
    </w:p>
    <w:p>
      <w:pPr>
        <w:spacing w:after="0" w:line="387"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39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2">
            <w:col w:w="3240" w:space="720"/>
            <w:col w:w="7280"/>
          </w:cols>
          <w:pgMar w:left="320" w:top="1103" w:right="33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one class of securities registered under Section 12 of the Securities Exchange Act of 1934, as amended: our common stock, par value $0.00001 per share. The following is a general description of the terms and provisions of our capital stock and related provisions of our certificate of incorporation and our bylaws, each of which is incorporated by reference as an exhibit to the Annual Report on Form 10-K of which this Exhibit 4.1 is a part. The following description is only a summary of the material provisions of our capital stock, certificate of incorporation and bylaws and does not purport to be complete and is subject and qualified in its entirety by reference to the applicable provisions of the Delaware General Corporation Law, or the DGCL, our certificate of incorporation and our bylaws. We encourage you to read our certificate of incorporation, our bylaws and the applicable provisions of the DGCL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 permitted to pay dividends if, as and when declared by our board of directors, subject to compliance with limitations imposed by the DGCL. The holders of our common stock are entitled to receive and share equally in these dividends as they may be declared by our board of directors out of funds legally available for such purpose. We do not currently expect to pay dividends on our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votes as a single class on all matters on which stockholders are entitled to vote, and each share of our common stock is entitled to cast one vote in person or by proxy on such matters. Holders of our common stock do not have the right to cumulate votes in the election of directors. Directors are elected by a plurality of the shares actually voting on the matter at each annual meeting or special meeting called for the purpose of electing such directors at which a quorum is present.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our liquidation, dissolution or winding-up, whether voluntary or involuntary, the holders of our common stock will be entitled to receive, after payment or provision for payment of all our debts and liabilities, all of our assets available for distribution.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are not entitled to any preemptive rights to subscribe for additional shares of our common stock, nor are they liable to further capital calls or to assessments by us. Therefore, if we issue additional shares without the opportunity for existing stockholders to purchase more shares, a stockholder’s ownership interest in our Company may be subject to dilution.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 or Preferences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has no sinking fund, redemption provisions, or conversion or exchange rights, other than redemption provisions related to compliance with gaming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authorized to issue up to 150,000,000 shares of preferred stock, none of which is outstanding. Our board of directors is authorized without further action by holders of our common stock, subject to limitations prescribed by Delaware law and our certificate of incorporation, to issue preferred stock and to determine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4812-2185-9293</w:t>
      </w:r>
    </w:p>
    <w:p>
      <w:pPr>
        <w:sectPr>
          <w:pgSz w:w="11900" w:h="16838" w:orient="portrait"/>
          <w:cols w:equalWidth="0" w:num="1">
            <w:col w:w="11240"/>
          </w:cols>
          <w:pgMar w:left="320" w:top="94" w:right="339" w:bottom="1440" w:gutter="0" w:footer="0" w:header="0"/>
        </w:sectPr>
      </w:pPr>
    </w:p>
    <w:bookmarkStart w:id="113" w:name="page114"/>
    <w:bookmarkEnd w:id="113"/>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preferred stock, including whether the shares of preferred stock will be issued in one or more series, the number of shares to be included in each series and the powers, designations, preferences and rights of the shares. Our board of directors is authorized to designate any qualifications, limitations or restrictions on the shares without any further vote or action by our stockholders. The issuance of preferred stock may have the effect of delaying, deferring or preventing a change in control of our company that some stockholders believe to be in their best interests or in which holders of our common stock might receive a premium over the market price and may adversely affect the voting and other rights of the holders of our common stock, which could have an adverse impact on the market price of our common stock. We have no current plan to issue any shares of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certain of our executive officers and each of our directors pursuant to which we have agreed to indemnify such executive officers and directors against liability incurred by them by reason of their services as an executive officer or director to the fullest extent allowable under applicable law. We also provide liability insurance for each officer and director for losses arising from claims or charges made against them while acting in their capacities as our officer or director.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indemnification for liabilities arising under the Securities Act may be permitted to our executive officers and directors pursuant to the foregoing,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under the symbol “CZR.”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39337.00400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4812-2185-9293</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FOURTH SUPPLEMENTAL INDENTURE</w:t>
      </w:r>
    </w:p>
    <w:p>
      <w:pPr>
        <w:spacing w:after="0" w:line="3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FOURTH SUPPLEMENTAL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August 23, 2024, among the entities listed in Schedule A hereto (each, a “</w:t>
      </w:r>
      <w:r>
        <w:rPr>
          <w:rFonts w:ascii="Times New Roman" w:cs="Times New Roman" w:eastAsia="Times New Roman" w:hAnsi="Times New Roman"/>
          <w:sz w:val="20"/>
          <w:szCs w:val="20"/>
          <w:u w:val="single" w:color="auto"/>
          <w:color w:val="auto"/>
        </w:rPr>
        <w:t>New Guarantor</w:t>
      </w:r>
      <w:r>
        <w:rPr>
          <w:rFonts w:ascii="Times New Roman" w:cs="Times New Roman" w:eastAsia="Times New Roman" w:hAnsi="Times New Roman"/>
          <w:sz w:val="20"/>
          <w:szCs w:val="20"/>
          <w:color w:val="auto"/>
        </w:rPr>
        <w:t>”), CAESARS ENTERTAINMENT, INC.,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other Subsidiary Guarantors (as defined in the Indenture referred to herein), and U.S. BANK TRUST COMPANY, NATIONAL ASSOCIATION, as trustee (as successor-in-interest to U.S. Bank National Association, and in such capacity,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WHEREAS, the Colt Merger Sub, Inc. (predecessor to the Issuer) (the “</w:t>
      </w:r>
      <w:r>
        <w:rPr>
          <w:rFonts w:ascii="Times New Roman" w:cs="Times New Roman" w:eastAsia="Times New Roman" w:hAnsi="Times New Roman"/>
          <w:sz w:val="20"/>
          <w:szCs w:val="20"/>
          <w:u w:val="single" w:color="auto"/>
          <w:color w:val="auto"/>
        </w:rPr>
        <w:t>Escrow Issuer</w:t>
      </w:r>
      <w:r>
        <w:rPr>
          <w:rFonts w:ascii="Times New Roman" w:cs="Times New Roman" w:eastAsia="Times New Roman" w:hAnsi="Times New Roman"/>
          <w:sz w:val="20"/>
          <w:szCs w:val="20"/>
          <w:color w:val="auto"/>
        </w:rPr>
        <w:t>”) has heretofore executed and delivered to the Trustee an indenture, dated as of July 6, 2020, providing for the issuance of 8.125% Senior Notes due 2027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initially in the aggregate principal amount of $1,800,000,000, as supplemented by that certain supplemental indenture, dated as of July 20, 2020, by and among the Escrow Issuer, the Issuer (f/k/a Eldorado Resorts, Inc.), the Subsidiary Guarantors party thereto, and the Trustee, pursuant to which the Issuer assumed the Escrow Issuer’s obligations under the Notes and the Indenture, and the Subsidiary Guarantors became party thereto, that certain supplemental indenture dated as of June 4, 2021, by and among the Issuer, the Subsidiary Guarantors party thereto, and the Trustee, and that certain supplemental indenture dated as of November 3, 2023, by and among the Issuer, the Subsidiary Guarantors party thereto, and the Trustee (as further amended,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w:t>
      </w:r>
    </w:p>
    <w:p>
      <w:pPr>
        <w:spacing w:after="0" w:line="3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Section 4.11 of the Indenture provides that under certain circumstances the Issuer is required to cause each New Guarantor to execute and deliver to the Trustee a supplemental indenture pursuant to which each New Guarantor shall unconditionally guarantee all the Issuer’s Obligations under the Notes and the Indenture pursuant to a Note Guarantee on the terms and conditions set forth herein; and</w:t>
      </w:r>
    </w:p>
    <w:p>
      <w:pPr>
        <w:spacing w:after="0" w:line="22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Section 9.01 of the Indenture, the Trustee, the Issuer and the Subsidiary Guarantors, if any, are authorized to execute and deliver this Supplemental Indenture without the consent of the holders.</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each New Guarantor, the Issuer, the Subsidiary Guarantors and the Trustee mutually covenant and agree for the equal and ratable benefit of the holders of the Notes as follows:</w:t>
      </w:r>
    </w:p>
    <w:p>
      <w:pPr>
        <w:spacing w:after="0" w:line="202" w:lineRule="exact"/>
        <w:rPr>
          <w:sz w:val="20"/>
          <w:szCs w:val="20"/>
          <w:color w:val="auto"/>
        </w:rPr>
      </w:pPr>
    </w:p>
    <w:p>
      <w:pPr>
        <w:jc w:val="both"/>
        <w:ind w:firstLine="656"/>
        <w:spacing w:after="0" w:line="253"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23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Each New Guarantor hereby agrees, jointly and severally with all existing guarantors (if any), to unconditionally guarantee the Issuer’s Obligations under the Notes and the Indenture on the terms and subject to the conditions set forth in Article XII of the Indenture and to be bound by all other applicable provisions of the Indenture and the Notes and to perform all of the</w:t>
      </w:r>
    </w:p>
    <w:p>
      <w:pPr>
        <w:sectPr>
          <w:pgSz w:w="11900" w:h="16838" w:orient="portrait"/>
          <w:cols w:equalWidth="0" w:num="1">
            <w:col w:w="11240"/>
          </w:cols>
          <w:pgMar w:left="320" w:top="114" w:right="339" w:bottom="1440" w:gutter="0" w:footer="0" w:header="0"/>
        </w:sectPr>
      </w:pPr>
    </w:p>
    <w:bookmarkStart w:id="115" w:name="page116"/>
    <w:bookmarkEnd w:id="115"/>
    <w:p>
      <w:pPr>
        <w:spacing w:after="0" w:line="283" w:lineRule="auto"/>
        <w:rPr>
          <w:sz w:val="20"/>
          <w:szCs w:val="20"/>
          <w:color w:val="auto"/>
        </w:rPr>
      </w:pPr>
      <w:r>
        <w:rPr>
          <w:rFonts w:ascii="Times New Roman" w:cs="Times New Roman" w:eastAsia="Times New Roman" w:hAnsi="Times New Roman"/>
          <w:sz w:val="20"/>
          <w:szCs w:val="20"/>
          <w:color w:val="auto"/>
        </w:rPr>
        <w:t>obligations and agreements of a guarantor under the Indenture. From and after the date hereof, all references in the Indenture to the “Subsidiary Guarantors” shall include the New Guarantors.</w:t>
      </w:r>
    </w:p>
    <w:p>
      <w:pPr>
        <w:spacing w:after="0" w:line="187" w:lineRule="exact"/>
        <w:rPr>
          <w:sz w:val="20"/>
          <w:szCs w:val="20"/>
          <w:color w:val="auto"/>
        </w:rPr>
      </w:pPr>
    </w:p>
    <w:p>
      <w:pPr>
        <w:ind w:firstLine="656"/>
        <w:spacing w:after="0" w:line="284"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to each New Guarantor shall be given at the following address: Caesars Entertainment, Inc., 100 West Liberty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Reno, Nevada 89501, Facsimile: (775) 337-9218 Attn: Chief Financial Officer.</w:t>
      </w:r>
    </w:p>
    <w:p>
      <w:pPr>
        <w:spacing w:after="0" w:line="170"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and Delivery</w:t>
      </w:r>
      <w:r>
        <w:rPr>
          <w:rFonts w:ascii="Times New Roman" w:cs="Times New Roman" w:eastAsia="Times New Roman" w:hAnsi="Times New Roman"/>
          <w:sz w:val="20"/>
          <w:szCs w:val="20"/>
          <w:color w:val="auto"/>
        </w:rPr>
        <w:t>. Each New Guarantor agrees that its Note Guarantee shall remain in full force and effect notwithstanding the absence of the endorsement of any notation of such Note Guarantee.</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3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w:t>
      </w:r>
    </w:p>
    <w:p>
      <w:pPr>
        <w:spacing w:after="0" w:line="1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of New York.</w:t>
      </w:r>
    </w:p>
    <w:p>
      <w:pPr>
        <w:spacing w:after="0" w:line="234"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2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Trustee Makes No Representation</w:t>
      </w:r>
      <w:r>
        <w:rPr>
          <w:rFonts w:ascii="Times New Roman" w:cs="Times New Roman" w:eastAsia="Times New Roman" w:hAnsi="Times New Roman"/>
          <w:sz w:val="19"/>
          <w:szCs w:val="19"/>
          <w:color w:val="auto"/>
        </w:rPr>
        <w:t>. The Trustee makes no representation as to the validity or sufficiency of this Supplemental</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Indenture.</w:t>
      </w:r>
    </w:p>
    <w:p>
      <w:pPr>
        <w:spacing w:after="0" w:line="234" w:lineRule="exact"/>
        <w:rPr>
          <w:rFonts w:ascii="Times New Roman" w:cs="Times New Roman" w:eastAsia="Times New Roman" w:hAnsi="Times New Roman"/>
          <w:sz w:val="19"/>
          <w:szCs w:val="19"/>
          <w:color w:val="auto"/>
        </w:rPr>
      </w:pPr>
    </w:p>
    <w:p>
      <w:pPr>
        <w:ind w:firstLine="656"/>
        <w:spacing w:after="0" w:line="269"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Supplemental Indenture. Each signed copy shall be an original, but all of them together represent the same agreement.</w:t>
      </w:r>
    </w:p>
    <w:p>
      <w:pPr>
        <w:spacing w:after="0" w:line="199" w:lineRule="exact"/>
        <w:rPr>
          <w:rFonts w:ascii="Times New Roman" w:cs="Times New Roman" w:eastAsia="Times New Roman" w:hAnsi="Times New Roman"/>
          <w:sz w:val="20"/>
          <w:szCs w:val="20"/>
          <w:color w:val="auto"/>
        </w:rPr>
      </w:pPr>
    </w:p>
    <w:p>
      <w:pPr>
        <w:ind w:left="4620" w:right="560" w:hanging="3964"/>
        <w:spacing w:after="0" w:line="536" w:lineRule="auto"/>
        <w:tabs>
          <w:tab w:leader="none" w:pos="129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 thereof. [Signature Pages Follow]</w:t>
      </w:r>
    </w:p>
    <w:p>
      <w:pPr>
        <w:sectPr>
          <w:pgSz w:w="11900" w:h="16838" w:orient="portrait"/>
          <w:cols w:equalWidth="0" w:num="1">
            <w:col w:w="11240"/>
          </w:cols>
          <w:pgMar w:left="320" w:top="1413" w:right="339" w:bottom="1440" w:gutter="0" w:footer="0" w:header="0"/>
        </w:sectPr>
      </w:pPr>
    </w:p>
    <w:bookmarkStart w:id="116" w:name="page117"/>
    <w:bookmarkEnd w:id="116"/>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363636"/>
        </w:rPr>
        <w:t xml:space="preserve">IN </w:t>
      </w:r>
      <w:r>
        <w:rPr>
          <w:rFonts w:ascii="Times New Roman" w:cs="Times New Roman" w:eastAsia="Times New Roman" w:hAnsi="Times New Roman"/>
          <w:sz w:val="19"/>
          <w:szCs w:val="19"/>
          <w:color w:val="212121"/>
        </w:rPr>
        <w:t>WITNESS</w:t>
      </w:r>
      <w:r>
        <w:rPr>
          <w:rFonts w:ascii="Times New Roman" w:cs="Times New Roman" w:eastAsia="Times New Roman" w:hAnsi="Times New Roman"/>
          <w:sz w:val="19"/>
          <w:szCs w:val="19"/>
          <w:color w:val="363636"/>
        </w:rPr>
        <w:t xml:space="preserve"> WHEREOF, </w:t>
      </w:r>
      <w:r>
        <w:rPr>
          <w:rFonts w:ascii="Times New Roman" w:cs="Times New Roman" w:eastAsia="Times New Roman" w:hAnsi="Times New Roman"/>
          <w:sz w:val="19"/>
          <w:szCs w:val="19"/>
          <w:color w:val="212121"/>
        </w:rPr>
        <w:t>the part</w:t>
      </w:r>
      <w:r>
        <w:rPr>
          <w:rFonts w:ascii="Times New Roman" w:cs="Times New Roman" w:eastAsia="Times New Roman" w:hAnsi="Times New Roman"/>
          <w:sz w:val="19"/>
          <w:szCs w:val="19"/>
          <w:color w:val="363636"/>
        </w:rPr>
        <w:t xml:space="preserve">ies </w:t>
      </w:r>
      <w:r>
        <w:rPr>
          <w:rFonts w:ascii="Times New Roman" w:cs="Times New Roman" w:eastAsia="Times New Roman" w:hAnsi="Times New Roman"/>
          <w:sz w:val="19"/>
          <w:szCs w:val="19"/>
          <w:color w:val="212121"/>
        </w:rPr>
        <w:t>hereto have</w:t>
      </w:r>
      <w:r>
        <w:rPr>
          <w:rFonts w:ascii="Times New Roman" w:cs="Times New Roman" w:eastAsia="Times New Roman" w:hAnsi="Times New Roman"/>
          <w:sz w:val="19"/>
          <w:szCs w:val="19"/>
          <w:color w:val="363636"/>
        </w:rPr>
        <w:t xml:space="preserve"> caused </w:t>
      </w:r>
      <w:r>
        <w:rPr>
          <w:rFonts w:ascii="Times New Roman" w:cs="Times New Roman" w:eastAsia="Times New Roman" w:hAnsi="Times New Roman"/>
          <w:sz w:val="19"/>
          <w:szCs w:val="19"/>
          <w:color w:val="212121"/>
        </w:rPr>
        <w:t>this</w:t>
      </w:r>
      <w:r>
        <w:rPr>
          <w:rFonts w:ascii="Times New Roman" w:cs="Times New Roman" w:eastAsia="Times New Roman" w:hAnsi="Times New Roman"/>
          <w:sz w:val="19"/>
          <w:szCs w:val="19"/>
          <w:color w:val="363636"/>
        </w:rPr>
        <w:t xml:space="preserve"> Supplemental </w:t>
      </w:r>
      <w:r>
        <w:rPr>
          <w:rFonts w:ascii="Times New Roman" w:cs="Times New Roman" w:eastAsia="Times New Roman" w:hAnsi="Times New Roman"/>
          <w:sz w:val="19"/>
          <w:szCs w:val="19"/>
          <w:color w:val="212121"/>
        </w:rPr>
        <w:t>Indenture</w:t>
      </w:r>
      <w:r>
        <w:rPr>
          <w:rFonts w:ascii="Times New Roman" w:cs="Times New Roman" w:eastAsia="Times New Roman" w:hAnsi="Times New Roman"/>
          <w:sz w:val="19"/>
          <w:szCs w:val="19"/>
          <w:color w:val="363636"/>
        </w:rPr>
        <w:t xml:space="preserve"> to </w:t>
      </w:r>
      <w:r>
        <w:rPr>
          <w:rFonts w:ascii="Times New Roman" w:cs="Times New Roman" w:eastAsia="Times New Roman" w:hAnsi="Times New Roman"/>
          <w:sz w:val="19"/>
          <w:szCs w:val="19"/>
          <w:color w:val="212121"/>
        </w:rPr>
        <w:t>be</w:t>
      </w:r>
      <w:r>
        <w:rPr>
          <w:rFonts w:ascii="Times New Roman" w:cs="Times New Roman" w:eastAsia="Times New Roman" w:hAnsi="Times New Roman"/>
          <w:sz w:val="19"/>
          <w:szCs w:val="19"/>
          <w:color w:val="363636"/>
        </w:rPr>
        <w:t xml:space="preserve"> duly </w:t>
      </w:r>
      <w:r>
        <w:rPr>
          <w:rFonts w:ascii="Times New Roman" w:cs="Times New Roman" w:eastAsia="Times New Roman" w:hAnsi="Times New Roman"/>
          <w:sz w:val="19"/>
          <w:szCs w:val="19"/>
          <w:color w:val="4B4B4D"/>
        </w:rPr>
        <w:t>exec</w:t>
      </w:r>
      <w:r>
        <w:rPr>
          <w:rFonts w:ascii="Times New Roman" w:cs="Times New Roman" w:eastAsia="Times New Roman" w:hAnsi="Times New Roman"/>
          <w:sz w:val="19"/>
          <w:szCs w:val="19"/>
          <w:color w:val="212121"/>
        </w:rPr>
        <w:t>uted</w:t>
      </w:r>
      <w:r>
        <w:rPr>
          <w:rFonts w:ascii="Times New Roman" w:cs="Times New Roman" w:eastAsia="Times New Roman" w:hAnsi="Times New Roman"/>
          <w:sz w:val="19"/>
          <w:szCs w:val="19"/>
          <w:color w:val="363636"/>
        </w:rPr>
        <w:t xml:space="preserve"> as of </w:t>
      </w:r>
      <w:r>
        <w:rPr>
          <w:rFonts w:ascii="Times New Roman" w:cs="Times New Roman" w:eastAsia="Times New Roman" w:hAnsi="Times New Roman"/>
          <w:sz w:val="19"/>
          <w:szCs w:val="19"/>
          <w:color w:val="212121"/>
        </w:rPr>
        <w:t>the</w:t>
      </w:r>
      <w:r>
        <w:rPr>
          <w:rFonts w:ascii="Times New Roman" w:cs="Times New Roman" w:eastAsia="Times New Roman" w:hAnsi="Times New Roman"/>
          <w:sz w:val="19"/>
          <w:szCs w:val="19"/>
          <w:color w:val="363636"/>
        </w:rPr>
        <w:t xml:space="preserve"> date </w:t>
      </w:r>
      <w:r>
        <w:rPr>
          <w:rFonts w:ascii="Times New Roman" w:cs="Times New Roman" w:eastAsia="Times New Roman" w:hAnsi="Times New Roman"/>
          <w:sz w:val="19"/>
          <w:szCs w:val="19"/>
          <w:color w:val="212121"/>
        </w:rPr>
        <w:t>fir</w:t>
      </w:r>
      <w:r>
        <w:rPr>
          <w:rFonts w:ascii="Times New Roman" w:cs="Times New Roman" w:eastAsia="Times New Roman" w:hAnsi="Times New Roman"/>
          <w:sz w:val="19"/>
          <w:szCs w:val="19"/>
          <w:color w:val="4B4B4D"/>
        </w:rPr>
        <w:t>s</w:t>
      </w:r>
      <w:r>
        <w:rPr>
          <w:rFonts w:ascii="Times New Roman" w:cs="Times New Roman" w:eastAsia="Times New Roman" w:hAnsi="Times New Roman"/>
          <w:sz w:val="19"/>
          <w:szCs w:val="19"/>
          <w:color w:val="212121"/>
        </w:rPr>
        <w:t>t</w:t>
      </w:r>
      <w:r>
        <w:rPr>
          <w:rFonts w:ascii="Times New Roman" w:cs="Times New Roman" w:eastAsia="Times New Roman" w:hAnsi="Times New Roman"/>
          <w:sz w:val="19"/>
          <w:szCs w:val="19"/>
          <w:color w:val="363636"/>
        </w:rPr>
        <w:t xml:space="preserve"> 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63636"/>
        </w:rPr>
        <w:t>written</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CAESARS ENTERTAINMENT,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Issuer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1257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Fourth Supplemental Indenture – CEI 8.125% Senior Notes due 2027]</w:t>
      </w:r>
    </w:p>
    <w:p>
      <w:pPr>
        <w:sectPr>
          <w:pgSz w:w="11900" w:h="16838" w:orient="portrait"/>
          <w:cols w:equalWidth="0" w:num="1">
            <w:col w:w="11080"/>
          </w:cols>
          <w:pgMar w:left="320" w:top="1440" w:right="499" w:bottom="1440" w:gutter="0" w:footer="0" w:header="0"/>
        </w:sectPr>
      </w:pPr>
    </w:p>
    <w:bookmarkStart w:id="117" w:name="page118"/>
    <w:bookmarkEnd w:id="117"/>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AMERICAN WAGERING,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GAMING,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MANUFACTURING,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AZTAR RIVERBOAT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BLACK HAWK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BRANDYWINE BOOKMAKING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BW SUB CO.</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CONVENTION CENTER OWNER,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DUBAI,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PARTNERS,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HOLDINGS,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INTERNATIONAL HOSPITALITY,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PARLAY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CCR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CCSC/BLACKHAWK,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CIE GROWTH,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CIRCUS AND ELDORADO JOINT VENTURE,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COMPUTERIZED BOOKMAKING SYSTEMS,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CRS ANNEX,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DIGITAL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EASTSIDE CONVENTION CENTER,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 FIT,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LIMITED LIABILITY COMPANY</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#1,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#2,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II LLC</w:t>
      </w:r>
    </w:p>
    <w:p>
      <w:pPr>
        <w:spacing w:after="0" w:line="6" w:lineRule="exact"/>
        <w:rPr>
          <w:sz w:val="20"/>
          <w:szCs w:val="20"/>
          <w:color w:val="auto"/>
        </w:rPr>
      </w:pPr>
    </w:p>
    <w:p>
      <w:pPr>
        <w:ind w:left="2120" w:right="2339"/>
        <w:spacing w:after="0" w:line="250" w:lineRule="auto"/>
        <w:rPr>
          <w:sz w:val="20"/>
          <w:szCs w:val="20"/>
          <w:color w:val="auto"/>
        </w:rPr>
      </w:pPr>
      <w:r>
        <w:rPr>
          <w:rFonts w:ascii="Times New Roman" w:cs="Times New Roman" w:eastAsia="Times New Roman" w:hAnsi="Times New Roman"/>
          <w:sz w:val="20"/>
          <w:szCs w:val="20"/>
          <w:color w:val="auto"/>
        </w:rPr>
        <w:t>ELGIN RIVERBOAT RESORT–RIVERBOAT CASINO GB INVESTOR, LLC,</w:t>
      </w: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4">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IC HOLDINGS COLORADO,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BLACK HAWK DISTRIBUTION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BOONVILLE,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LULA,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BLACK HAWK COUNTY,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BETTENDORF, 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BLACK HAWK,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CASINOS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LIGHTHOUSE POINT,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MTR GAMING GROUP,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JAZZ ENTERPRISES,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OLD PID,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POMPANO PARK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ROMULUS RISK AND INSURANCE COMPANY,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SCIOTO DOWNS,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ST. CHARLES GAMING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 LOUIS 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(STLH),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ENTERTAINMENT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ST. LOUIS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VEGAS DEVELOPMENT LAND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WH NV III,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DFSB,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NEW JERSEY,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U.S. HOLDCO,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5">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ATLANTIC CITY CORP.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CAESARS INTERACTIVE ENTERTAINMENT NEW JERSEY, LLC</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BALLY’S PARK PLACE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BOARDWALK REGENCY LLC</w:t>
      </w:r>
    </w:p>
    <w:p>
      <w:pPr>
        <w:spacing w:after="0" w:line="6" w:lineRule="exact"/>
        <w:rPr>
          <w:sz w:val="20"/>
          <w:szCs w:val="20"/>
          <w:color w:val="auto"/>
        </w:rPr>
      </w:pPr>
    </w:p>
    <w:p>
      <w:pPr>
        <w:ind w:left="2120" w:right="2159"/>
        <w:spacing w:after="0" w:line="246" w:lineRule="auto"/>
        <w:rPr>
          <w:sz w:val="20"/>
          <w:szCs w:val="20"/>
          <w:color w:val="auto"/>
        </w:rPr>
      </w:pPr>
      <w:r>
        <w:rPr>
          <w:rFonts w:ascii="Times New Roman" w:cs="Times New Roman" w:eastAsia="Times New Roman" w:hAnsi="Times New Roman"/>
          <w:sz w:val="20"/>
          <w:szCs w:val="20"/>
          <w:color w:val="auto"/>
        </w:rPr>
        <w:t>HARRAH’S ATLANTIC CITY OPERATING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CORP.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AC CONFERENCE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BENCO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BV MANAGER,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BALLY’S 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CROMWELL, LLC</w:t>
      </w:r>
    </w:p>
    <w:p>
      <w:pPr>
        <w:spacing w:after="0" w:line="13" w:lineRule="exact"/>
        <w:rPr>
          <w:sz w:val="20"/>
          <w:szCs w:val="20"/>
          <w:color w:val="auto"/>
        </w:rPr>
      </w:pPr>
    </w:p>
    <w:p>
      <w:pPr>
        <w:ind w:left="2120" w:right="2079"/>
        <w:spacing w:after="0" w:line="246" w:lineRule="auto"/>
        <w:rPr>
          <w:sz w:val="20"/>
          <w:szCs w:val="20"/>
          <w:color w:val="auto"/>
        </w:rPr>
      </w:pPr>
      <w:r>
        <w:rPr>
          <w:rFonts w:ascii="Times New Roman" w:cs="Times New Roman" w:eastAsia="Times New Roman" w:hAnsi="Times New Roman"/>
          <w:sz w:val="20"/>
          <w:szCs w:val="20"/>
          <w:color w:val="auto"/>
        </w:rPr>
        <w:t>CAESARS GROWTH HARRAH’S NEW ORLEANS, LLC CAESARS GROWTH PH FEE,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QUAD,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NEVADA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NEW JERSEY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OCTAVIUS,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REALTY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RESORT COLLECTION,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TREX,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MARKETING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CALIFORNIA CLEARING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CASINO COMPUTER PROGRAMMING,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ACQUISITION,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COLORADO,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CEOC,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DOWNS AND MARINA,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FACILITY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CORNER INVESTMENT COMPANY,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CRC FINCO,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DESERT PALACE LLC</w:t>
      </w:r>
    </w:p>
    <w:p>
      <w:pPr>
        <w:spacing w:after="0" w:line="6" w:lineRule="exact"/>
        <w:rPr>
          <w:sz w:val="20"/>
          <w:szCs w:val="20"/>
          <w:color w:val="auto"/>
        </w:rPr>
      </w:pPr>
    </w:p>
    <w:p>
      <w:pPr>
        <w:ind w:left="2120" w:right="2099"/>
        <w:spacing w:after="0" w:line="246" w:lineRule="auto"/>
        <w:rPr>
          <w:sz w:val="20"/>
          <w:szCs w:val="20"/>
          <w:color w:val="auto"/>
        </w:rPr>
      </w:pPr>
      <w:r>
        <w:rPr>
          <w:rFonts w:ascii="Times New Roman" w:cs="Times New Roman" w:eastAsia="Times New Roman" w:hAnsi="Times New Roman"/>
          <w:sz w:val="20"/>
          <w:szCs w:val="20"/>
          <w:color w:val="auto"/>
        </w:rPr>
        <w:t>FLAMINGO LAS VEGAS OPERATING COMPANY, LLC GRAND CASINOS OF BILOXI,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GRAND CASINOS,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 SOUTH SHORE CORPORATION</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ARIZONA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ATLANTIC CITY PROPCO, LLC</w:t>
      </w:r>
    </w:p>
    <w:p>
      <w:pPr>
        <w:spacing w:after="0" w:line="13" w:lineRule="exact"/>
        <w:rPr>
          <w:sz w:val="20"/>
          <w:szCs w:val="20"/>
          <w:color w:val="auto"/>
        </w:rPr>
      </w:pPr>
    </w:p>
    <w:p>
      <w:pPr>
        <w:ind w:left="2120" w:right="1239"/>
        <w:spacing w:after="0" w:line="246" w:lineRule="auto"/>
        <w:rPr>
          <w:sz w:val="20"/>
          <w:szCs w:val="20"/>
          <w:color w:val="auto"/>
        </w:rPr>
      </w:pPr>
      <w:r>
        <w:rPr>
          <w:rFonts w:ascii="Times New Roman" w:cs="Times New Roman" w:eastAsia="Times New Roman" w:hAnsi="Times New Roman"/>
          <w:sz w:val="20"/>
          <w:szCs w:val="20"/>
          <w:color w:val="auto"/>
        </w:rPr>
        <w:t>HARRAH’S CHESTER DOWNS INVESTMENT COMPANY, LLC HARRAH’S CHESTER DOWNS MANAGEMENT COMPANY, LLC HARRAH’S ILLINOIS LLC</w:t>
      </w:r>
    </w:p>
    <w:p>
      <w:pPr>
        <w:spacing w:after="0" w:line="1" w:lineRule="exact"/>
        <w:rPr>
          <w:sz w:val="20"/>
          <w:szCs w:val="20"/>
          <w:color w:val="auto"/>
        </w:rPr>
      </w:pPr>
    </w:p>
    <w:p>
      <w:pPr>
        <w:ind w:left="2120" w:right="2179"/>
        <w:spacing w:after="0" w:line="248" w:lineRule="auto"/>
        <w:rPr>
          <w:sz w:val="20"/>
          <w:szCs w:val="20"/>
          <w:color w:val="auto"/>
        </w:rPr>
      </w:pPr>
      <w:r>
        <w:rPr>
          <w:rFonts w:ascii="Times New Roman" w:cs="Times New Roman" w:eastAsia="Times New Roman" w:hAnsi="Times New Roman"/>
          <w:sz w:val="20"/>
          <w:szCs w:val="20"/>
          <w:color w:val="auto"/>
        </w:rPr>
        <w:t>HARRAH’S INTERACTIVE INVESTMENT COMPANY HARRAH’S IOWA ARENA MANAGEMENT, LLC HARRAH’S LAS VEGAS, LLC</w:t>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MANAGEMENT COMPANY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NC CASINO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NEBRASKA, LLC</w:t>
      </w:r>
    </w:p>
    <w:p>
      <w:pPr>
        <w:spacing w:after="0" w:line="13" w:lineRule="exact"/>
        <w:rPr>
          <w:sz w:val="20"/>
          <w:szCs w:val="20"/>
          <w:color w:val="auto"/>
        </w:rPr>
      </w:pPr>
    </w:p>
    <w:p>
      <w:pPr>
        <w:ind w:left="2120" w:right="1499"/>
        <w:spacing w:after="0" w:line="246" w:lineRule="auto"/>
        <w:rPr>
          <w:sz w:val="20"/>
          <w:szCs w:val="20"/>
          <w:color w:val="auto"/>
        </w:rPr>
      </w:pPr>
      <w:r>
        <w:rPr>
          <w:rFonts w:ascii="Times New Roman" w:cs="Times New Roman" w:eastAsia="Times New Roman" w:hAnsi="Times New Roman"/>
          <w:sz w:val="20"/>
          <w:szCs w:val="20"/>
          <w:color w:val="auto"/>
        </w:rPr>
        <w:t>HARRAH’S NEW ORLEANS MANAGEMENT COMPANY LLC HARRAH’S NORTH KANSAS CITY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OKLAHOMA, LLC</w:t>
      </w:r>
    </w:p>
    <w:p>
      <w:pPr>
        <w:spacing w:after="0" w:line="6" w:lineRule="exact"/>
        <w:rPr>
          <w:sz w:val="20"/>
          <w:szCs w:val="20"/>
          <w:color w:val="auto"/>
        </w:rPr>
      </w:pPr>
    </w:p>
    <w:p>
      <w:pPr>
        <w:ind w:left="2120" w:right="399"/>
        <w:spacing w:after="0" w:line="248" w:lineRule="auto"/>
        <w:rPr>
          <w:sz w:val="20"/>
          <w:szCs w:val="20"/>
          <w:color w:val="auto"/>
        </w:rPr>
      </w:pPr>
      <w:r>
        <w:rPr>
          <w:rFonts w:ascii="Times New Roman" w:cs="Times New Roman" w:eastAsia="Times New Roman" w:hAnsi="Times New Roman"/>
          <w:sz w:val="20"/>
          <w:szCs w:val="20"/>
          <w:color w:val="auto"/>
        </w:rPr>
        <w:t>HARRAH’S SHREVEPORT/BOSSIER CITY INVESTMENT COMPANY, LLC HARVEYS BR MANAGEMENT COMPANY, INC. HARVEYS IOWA MANAGEMENT COMPANY LLC</w:t>
      </w:r>
    </w:p>
    <w:p>
      <w:pPr>
        <w:spacing w:after="0" w:line="3"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HARVEYS TAHOE MANAGEMENT COMPANY LLC HBR REALTY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HCAL,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HOLE IN THE WALL,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HOOSIER PARK,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ENTERTAINMENT</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GAMING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HAMMOND,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HTM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JAZZ CASINO COMPANY,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FULTON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HOLDING COMPANY II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LAUNDRY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LINQCUP,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CENTAUR, LLC</w:t>
      </w:r>
    </w:p>
    <w:p>
      <w:pPr>
        <w:spacing w:after="0" w:line="6" w:lineRule="exact"/>
        <w:rPr>
          <w:sz w:val="20"/>
          <w:szCs w:val="20"/>
          <w:color w:val="auto"/>
        </w:rPr>
      </w:pPr>
    </w:p>
    <w:p>
      <w:pPr>
        <w:ind w:left="2120" w:right="59"/>
        <w:spacing w:after="0" w:line="257" w:lineRule="auto"/>
        <w:rPr>
          <w:sz w:val="20"/>
          <w:szCs w:val="20"/>
          <w:color w:val="auto"/>
        </w:rPr>
      </w:pPr>
      <w:r>
        <w:rPr>
          <w:rFonts w:ascii="Times New Roman" w:cs="Times New Roman" w:eastAsia="Times New Roman" w:hAnsi="Times New Roman"/>
          <w:sz w:val="20"/>
          <w:szCs w:val="20"/>
          <w:color w:val="auto"/>
        </w:rPr>
        <w:t>NEW GAMING CAPITAL PARTNERSHIP, A NEVADA LIMITED PARTNERSHIP NEW ROBINSON PROPERTY GROUP LLC OS HOLDCO, LLC</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PARIS LAS VEGAS OPERATING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 MANAGER,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PIER AT CAESARS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INTERNATIONAL,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RIO PROPERTIES,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ROBINSON PROPERTY GROUP LLC</w:t>
      </w:r>
    </w:p>
    <w:p>
      <w:pPr>
        <w:spacing w:after="0" w:line="6" w:lineRule="exact"/>
        <w:rPr>
          <w:sz w:val="20"/>
          <w:szCs w:val="20"/>
          <w:color w:val="auto"/>
        </w:rPr>
      </w:pPr>
    </w:p>
    <w:p>
      <w:pPr>
        <w:ind w:left="2120" w:right="1639"/>
        <w:spacing w:after="0" w:line="246" w:lineRule="auto"/>
        <w:rPr>
          <w:sz w:val="20"/>
          <w:szCs w:val="20"/>
          <w:color w:val="auto"/>
        </w:rPr>
      </w:pPr>
      <w:r>
        <w:rPr>
          <w:rFonts w:ascii="Times New Roman" w:cs="Times New Roman" w:eastAsia="Times New Roman" w:hAnsi="Times New Roman"/>
          <w:sz w:val="20"/>
          <w:szCs w:val="20"/>
          <w:color w:val="auto"/>
        </w:rPr>
        <w:t>ROMAN HOLDING COMPANY OF INDIANA LLC SHOWBOAT ATLANTIC CITY OPERATING COMPANY, LLC SOUTHERN ILLINOIS RIVERBOAT/CASINO CRUISES LLC TUNICA ROADHOUSE LLC</w:t>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5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Edmund L. Quatmann, Jr._____________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5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IPB SERVICES,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CEOC, LLC, its sole member</w:t>
      </w:r>
    </w:p>
    <w:p>
      <w:pPr>
        <w:spacing w:after="0" w:line="3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7">
                      <a:extLst>
                        <a:ext uri="{28A0092B-C50C-407E-A947-70E740481C1C}"/>
                      </a:extLst>
                    </a:blip>
                    <a:srcRect/>
                    <a:stretch>
                      <a:fillRect/>
                    </a:stretch>
                  </pic:blipFill>
                  <pic:spPr bwMode="auto">
                    <a:xfrm>
                      <a:off x="0" y="0"/>
                      <a:ext cx="1574165"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7" w:lineRule="exact"/>
        <w:rPr>
          <w:sz w:val="20"/>
          <w:szCs w:val="20"/>
          <w:color w:val="auto"/>
        </w:rPr>
      </w:pPr>
    </w:p>
    <w:p>
      <w:pPr>
        <w:ind w:left="2120" w:right="1759"/>
        <w:spacing w:after="0" w:line="269"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-10795</wp:posOffset>
            </wp:positionV>
            <wp:extent cx="125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Fourth Supplemental Indenture – CEI 8.125% Senior Notes due 2027]</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D3D3D"/>
        </w:rPr>
        <w:t xml:space="preserve">[Signature Page to </w:t>
      </w:r>
      <w:r>
        <w:rPr>
          <w:rFonts w:ascii="Times New Roman" w:cs="Times New Roman" w:eastAsia="Times New Roman" w:hAnsi="Times New Roman"/>
          <w:sz w:val="17"/>
          <w:szCs w:val="17"/>
          <w:color w:val="505050"/>
        </w:rPr>
        <w:t>S</w:t>
      </w:r>
      <w:r>
        <w:rPr>
          <w:rFonts w:ascii="Times New Roman" w:cs="Times New Roman" w:eastAsia="Times New Roman" w:hAnsi="Times New Roman"/>
          <w:sz w:val="17"/>
          <w:szCs w:val="17"/>
          <w:color w:val="262626"/>
        </w:rPr>
        <w:t>uppl</w:t>
      </w:r>
      <w:r>
        <w:rPr>
          <w:rFonts w:ascii="Times New Roman" w:cs="Times New Roman" w:eastAsia="Times New Roman" w:hAnsi="Times New Roman"/>
          <w:sz w:val="17"/>
          <w:szCs w:val="17"/>
          <w:color w:val="505050"/>
        </w:rPr>
        <w:t>eme</w:t>
      </w:r>
      <w:r>
        <w:rPr>
          <w:rFonts w:ascii="Times New Roman" w:cs="Times New Roman" w:eastAsia="Times New Roman" w:hAnsi="Times New Roman"/>
          <w:sz w:val="17"/>
          <w:szCs w:val="17"/>
          <w:color w:val="262626"/>
        </w:rPr>
        <w:t>ntal Indentur</w:t>
      </w:r>
      <w:r>
        <w:rPr>
          <w:rFonts w:ascii="Times New Roman" w:cs="Times New Roman" w:eastAsia="Times New Roman" w:hAnsi="Times New Roman"/>
          <w:sz w:val="17"/>
          <w:szCs w:val="17"/>
          <w:color w:val="505050"/>
        </w:rPr>
        <w:t>e</w:t>
      </w:r>
      <w:r>
        <w:rPr>
          <w:rFonts w:ascii="Times New Roman" w:cs="Times New Roman" w:eastAsia="Times New Roman" w:hAnsi="Times New Roman"/>
          <w:sz w:val="17"/>
          <w:szCs w:val="17"/>
          <w:color w:val="262626"/>
        </w:rPr>
        <w:t>]</w:t>
      </w:r>
    </w:p>
    <w:p>
      <w:pPr>
        <w:sectPr>
          <w:pgSz w:w="11900" w:h="16838" w:orient="portrait"/>
          <w:cols w:equalWidth="0" w:num="1">
            <w:col w:w="10099"/>
          </w:cols>
          <w:pgMar w:left="360" w:top="1440"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New Guarantors</w:t>
      </w:r>
    </w:p>
    <w:p>
      <w:pPr>
        <w:sectPr>
          <w:pgSz w:w="11900" w:h="16838" w:orient="portrait"/>
          <w:cols w:equalWidth="0" w:num="1">
            <w:col w:w="9019"/>
          </w:cols>
          <w:pgMar w:left="1440" w:top="1413" w:right="1440"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316"/>
        </w:trPr>
        <w:tc>
          <w:tcPr>
            <w:tcW w:w="6560" w:type="dxa"/>
            <w:vAlign w:val="bottom"/>
            <w:tcBorders>
              <w:top w:val="single" w:sz="8" w:color="auto"/>
              <w:left w:val="single" w:sz="8" w:color="auto"/>
              <w:right w:val="single" w:sz="8" w:color="auto"/>
            </w:tcBorders>
            <w:shd w:val="clear" w:color="auto" w:fill="D9D9D9"/>
          </w:tcPr>
          <w:p>
            <w:pPr>
              <w:ind w:left="278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Jurisdiction of Organization</w:t>
            </w:r>
          </w:p>
        </w:tc>
      </w:tr>
      <w:tr>
        <w:trPr>
          <w:trHeight w:val="62"/>
        </w:trPr>
        <w:tc>
          <w:tcPr>
            <w:tcW w:w="65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140" w:type="dxa"/>
            <w:vAlign w:val="bottom"/>
            <w:tcBorders>
              <w:bottom w:val="single" w:sz="8" w:color="auto"/>
              <w:right w:val="single" w:sz="8" w:color="auto"/>
            </w:tcBorders>
            <w:shd w:val="clear" w:color="auto" w:fill="D9D9D9"/>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Corp.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 Conference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Bally’s Park Place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Benco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BL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Boardwalk Regency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BV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Bally’s 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Cromwell,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Harrah’s New Orleans,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Fee,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Quad,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Nevada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New Jersey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OCTAVIUS,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Realty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Resort Collection,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TREX,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Marketing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CALIFORNIA CLEARING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Casino Computer Programming,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ACQUISITION,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Colorado,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Holdings,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CEOC,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Downs and Marina,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Pennsylvania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Facility Holding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Corner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CRC Finco,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Desert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Flamingo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of Biloxi,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 SOUTH SHORE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ARIZONA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6" w:right="1439" w:bottom="595"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Propco,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Illinois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INTERACTIVE INVESTMENT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Iowa Arena Management,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Las Vegas,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Laughlin,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Management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NC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North Carolina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Nebraska,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New Orleans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North Kansas City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Missouri</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Oklahoma,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Shreveport/Bossier City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BR MANAGEMENT COMPANY,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Iowa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Tahoe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HBR Realty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Hole in the Wall,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Hoosier Park,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ENTERTAINMENT</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Gaming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Hammond,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HTM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IPB Services,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Jazz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Fulton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Holding Company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Laundry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LINQCUP,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Centaur,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Gaming Capital Partnership, a Nevada Limited Partnership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OS Holdco,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40" w:right="1439" w:bottom="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9019"/>
          </w:cols>
          <w:pgMar w:left="1440" w:top="1143" w:right="1440" w:bottom="1440" w:gutter="0" w:footer="0" w:header="0"/>
        </w:sectPr>
      </w:pPr>
    </w:p>
    <w:bookmarkStart w:id="130" w:name="page131"/>
    <w:bookmarkEnd w:id="13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NewCo,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Paris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Pier at Caesars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International,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Rio Properties,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Mississippi</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Roman Holding Company of Indiana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Showboat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Southern Illinois Riverboat/Casino Cruises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Illinois</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Tunica Roadhouse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9700"/>
          </w:cols>
          <w:pgMar w:left="760" w:top="1440" w:right="14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THIRD SUPPLEMENTAL INDENTURE</w:t>
      </w:r>
    </w:p>
    <w:p>
      <w:pPr>
        <w:spacing w:after="0" w:line="3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THIRD SUPPLEMENTAL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xml:space="preserve">”), dated as of August 23, 2024, among the entities listed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u w:val="single" w:color="auto"/>
          <w:color w:val="auto"/>
        </w:rPr>
        <w:t>New Guarantor</w:t>
      </w:r>
      <w:r>
        <w:rPr>
          <w:rFonts w:ascii="Times New Roman" w:cs="Times New Roman" w:eastAsia="Times New Roman" w:hAnsi="Times New Roman"/>
          <w:sz w:val="20"/>
          <w:szCs w:val="20"/>
          <w:color w:val="auto"/>
        </w:rPr>
        <w:t>”), CAESARS ENTERTAINMENT, INC.,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other Subsidiary Guarantors (as defined in the Indenture referred to herein), and U.S. BANK TRUST COMPANY, NATIONAL ASSOCIATION, as trustee (as successor-in-interest to U.S. Bank National Association, and in such capacity,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Issuer has heretofore executed and delivered to the Trustee an indenture, dated as of September 24, 2021, providing for the issuance of 4.625% Senior Notes due 2029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initially in the aggregate principal amount of $1,200,000,000, as supplemented by that certain supplemental indenture, dated as of October 4, 2022, by and among the Issuer, the Subsidiary Guarantors party thereto, and the Trustee, and that certain supplemental indenture, dated as of November 3, 2023, by and among the Issuer, the Subsidiary Guarantors party thereto, and the Trustee (as further amended,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w:t>
      </w:r>
    </w:p>
    <w:p>
      <w:pPr>
        <w:spacing w:after="0" w:line="3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Section 4.11 of the Indenture provides that under certain circumstances the Issuer is required to cause each New Guarantor to execute and deliver to the Trustee a supplemental indenture pursuant to which each New Guarantor shall unconditionally guarantee all the Issuer’s Obligations under the Notes and the Indenture pursuant to a Note Guarantee on the terms and conditions set forth herein; and</w:t>
      </w:r>
    </w:p>
    <w:p>
      <w:pPr>
        <w:spacing w:after="0" w:line="21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Section 9.01 of the Indenture, the Trustee, the Issuer and the Subsidiary Guarantors, if any, are authorized to execute and deliver this Supplemental Indenture without the consent of the holders.</w:t>
      </w:r>
    </w:p>
    <w:p>
      <w:pPr>
        <w:spacing w:after="0" w:line="2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each New Guarantor, the Issuer, the Subsidiary Guarantors and the Trustee mutually covenant and agree for the equal and ratable benefit of the holders of the Notes as follows:</w:t>
      </w:r>
    </w:p>
    <w:p>
      <w:pPr>
        <w:spacing w:after="0" w:line="208" w:lineRule="exact"/>
        <w:rPr>
          <w:sz w:val="20"/>
          <w:szCs w:val="20"/>
          <w:color w:val="auto"/>
        </w:rPr>
      </w:pPr>
    </w:p>
    <w:p>
      <w:pPr>
        <w:jc w:val="both"/>
        <w:ind w:firstLine="656"/>
        <w:spacing w:after="0" w:line="257" w:lineRule="auto"/>
        <w:tabs>
          <w:tab w:leader="none" w:pos="12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21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Each New Guarantor hereby agrees, jointly and severally with all existing guarantors (if any), to unconditionally guarantee the Issuer’s 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 From and after the date hereof, all references in the Indenture to the “Guarantors” and the “Subsidiary Guarantors” shall include the New Guarantors.</w:t>
      </w:r>
    </w:p>
    <w:p>
      <w:pPr>
        <w:sectPr>
          <w:pgSz w:w="11900" w:h="16838" w:orient="portrait"/>
          <w:cols w:equalWidth="0" w:num="1">
            <w:col w:w="11240"/>
          </w:cols>
          <w:pgMar w:left="320" w:top="100" w:right="339" w:bottom="1440" w:gutter="0" w:footer="0" w:header="0"/>
        </w:sectPr>
      </w:pPr>
    </w:p>
    <w:bookmarkStart w:id="132" w:name="page133"/>
    <w:bookmarkEnd w:id="132"/>
    <w:p>
      <w:pPr>
        <w:ind w:firstLine="656"/>
        <w:spacing w:after="0" w:line="284" w:lineRule="auto"/>
        <w:tabs>
          <w:tab w:leader="none" w:pos="12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to each New Guarantor shall be given at the following address: Caesars Entertainment, Inc., 100 West Liberty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Reno, Nevada 89501, Facsimile: (775) 337-9218 Attn: Chief Financial Officer.</w:t>
      </w:r>
    </w:p>
    <w:p>
      <w:pPr>
        <w:spacing w:after="0" w:line="170"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and Delivery</w:t>
      </w:r>
      <w:r>
        <w:rPr>
          <w:rFonts w:ascii="Times New Roman" w:cs="Times New Roman" w:eastAsia="Times New Roman" w:hAnsi="Times New Roman"/>
          <w:sz w:val="20"/>
          <w:szCs w:val="20"/>
          <w:color w:val="auto"/>
        </w:rPr>
        <w:t>. Each New Guarantor agrees that its Note Guarantee shall remain in full force and effect notwithstanding the absence of the endorsement of any notation of such Note Guarantee.</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3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w:t>
      </w:r>
    </w:p>
    <w:p>
      <w:pPr>
        <w:spacing w:after="0" w:line="1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of New York.</w:t>
      </w:r>
    </w:p>
    <w:p>
      <w:pPr>
        <w:spacing w:after="0" w:line="234"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2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Trustee Makes No Representation</w:t>
      </w:r>
      <w:r>
        <w:rPr>
          <w:rFonts w:ascii="Times New Roman" w:cs="Times New Roman" w:eastAsia="Times New Roman" w:hAnsi="Times New Roman"/>
          <w:sz w:val="19"/>
          <w:szCs w:val="19"/>
          <w:color w:val="auto"/>
        </w:rPr>
        <w:t>. The Trustee makes no representation as to the validity or sufficiency of this Supplemental</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Indenture.</w:t>
      </w:r>
    </w:p>
    <w:p>
      <w:pPr>
        <w:spacing w:after="0" w:line="234" w:lineRule="exact"/>
        <w:rPr>
          <w:rFonts w:ascii="Times New Roman" w:cs="Times New Roman" w:eastAsia="Times New Roman" w:hAnsi="Times New Roman"/>
          <w:sz w:val="19"/>
          <w:szCs w:val="19"/>
          <w:color w:val="auto"/>
        </w:rPr>
      </w:pPr>
    </w:p>
    <w:p>
      <w:pPr>
        <w:ind w:firstLine="656"/>
        <w:spacing w:after="0" w:line="283" w:lineRule="auto"/>
        <w:tabs>
          <w:tab w:leader="none" w:pos="12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Supplemental Indenture. Each signed copy shall be an original, but all of them together represent the same agreement.</w:t>
      </w:r>
    </w:p>
    <w:p>
      <w:pPr>
        <w:spacing w:after="0" w:line="173" w:lineRule="exact"/>
        <w:rPr>
          <w:rFonts w:ascii="Times New Roman" w:cs="Times New Roman" w:eastAsia="Times New Roman" w:hAnsi="Times New Roman"/>
          <w:sz w:val="20"/>
          <w:szCs w:val="20"/>
          <w:color w:val="auto"/>
        </w:rPr>
      </w:pPr>
    </w:p>
    <w:p>
      <w:pPr>
        <w:ind w:left="4620" w:right="560" w:hanging="3964"/>
        <w:spacing w:after="0" w:line="536" w:lineRule="auto"/>
        <w:tabs>
          <w:tab w:leader="none" w:pos="129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 thereof. [Signature Pages Follow]</w:t>
      </w:r>
    </w:p>
    <w:p>
      <w:pPr>
        <w:sectPr>
          <w:pgSz w:w="11900" w:h="16838" w:orient="portrait"/>
          <w:cols w:equalWidth="0" w:num="1">
            <w:col w:w="11240"/>
          </w:cols>
          <w:pgMar w:left="320" w:top="1413" w:right="339" w:bottom="1440" w:gutter="0" w:footer="0" w:header="0"/>
        </w:sectPr>
      </w:pPr>
    </w:p>
    <w:bookmarkStart w:id="133" w:name="page134"/>
    <w:bookmarkEnd w:id="133"/>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as of the date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3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CAESARS ENTERTAINMENT,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Issuer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125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Third Supplemental Indenture – CEI 4.625% Senior Notes due 2029]</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AMERICAN WAGERING,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GAMING,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MANUFACTURING,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AZTAR RIVERBOAT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BLACK HAWK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BRANDYWINE BOOKMAKING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BW SUB CO.</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CONVENTION CENTER OWNER,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DUBAI,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PARTNERS,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HOLDINGS,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INTERNATIONAL HOSPITALITY,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PARLAY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CCR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CCSC/BLACKHAWK,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CIE GROWTH,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CIRCUS AND ELDORADO JOINT VENTURE,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COMPUTERIZED BOOKMAKING SYSTEMS,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CRS ANNEX,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DIGITAL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EASTSIDE CONVENTION CENTER,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 FIT,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LIMITED LIABILITY COMPANY</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#1,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#2,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II LLC</w:t>
      </w:r>
    </w:p>
    <w:p>
      <w:pPr>
        <w:spacing w:after="0" w:line="6" w:lineRule="exact"/>
        <w:rPr>
          <w:sz w:val="20"/>
          <w:szCs w:val="20"/>
          <w:color w:val="auto"/>
        </w:rPr>
      </w:pPr>
    </w:p>
    <w:p>
      <w:pPr>
        <w:ind w:left="2120" w:right="2339"/>
        <w:spacing w:after="0" w:line="250" w:lineRule="auto"/>
        <w:rPr>
          <w:sz w:val="20"/>
          <w:szCs w:val="20"/>
          <w:color w:val="auto"/>
        </w:rPr>
      </w:pPr>
      <w:r>
        <w:rPr>
          <w:rFonts w:ascii="Times New Roman" w:cs="Times New Roman" w:eastAsia="Times New Roman" w:hAnsi="Times New Roman"/>
          <w:sz w:val="20"/>
          <w:szCs w:val="20"/>
          <w:color w:val="auto"/>
        </w:rPr>
        <w:t>ELGIN RIVERBOAT RESORT–RIVERBOAT CASINO GB INVESTOR, LLC,</w:t>
      </w: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0">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IC HOLDINGS COLORADO,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BLACK HAWK DISTRIBUTION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BOONVILLE,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LULA,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BLACK HAWK COUNTY,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BETTENDORF, 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BLACK HAWK,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CASINOS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LIGHTHOUSE POINT,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MTR GAMING GROUP,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JAZZ ENTERPRISES,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OLD PID,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POMPANO PARK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ROMULUS RISK AND INSURANCE COMPANY,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SCIOTO DOWNS,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ST. CHARLES GAMING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 LOUIS 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(STLH),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ENTERTAINMENT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ST. LOUIS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VEGAS DEVELOPMENT LAND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WH NV III,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DFSB,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NEW JERSEY,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U.S. HOLDCO,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1">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ATLANTIC CITY CORP.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INTERACTIVE ENTERTAINMENT NEW JERSEY,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BALLY’S PARK PLACE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BOARDWALK REGENCY LLC</w:t>
      </w:r>
    </w:p>
    <w:p>
      <w:pPr>
        <w:spacing w:after="0" w:line="6" w:lineRule="exact"/>
        <w:rPr>
          <w:sz w:val="20"/>
          <w:szCs w:val="20"/>
          <w:color w:val="auto"/>
        </w:rPr>
      </w:pPr>
    </w:p>
    <w:p>
      <w:pPr>
        <w:ind w:left="2120" w:right="2159"/>
        <w:spacing w:after="0" w:line="246" w:lineRule="auto"/>
        <w:rPr>
          <w:sz w:val="20"/>
          <w:szCs w:val="20"/>
          <w:color w:val="auto"/>
        </w:rPr>
      </w:pPr>
      <w:r>
        <w:rPr>
          <w:rFonts w:ascii="Times New Roman" w:cs="Times New Roman" w:eastAsia="Times New Roman" w:hAnsi="Times New Roman"/>
          <w:sz w:val="20"/>
          <w:szCs w:val="20"/>
          <w:color w:val="auto"/>
        </w:rPr>
        <w:t>HARRAH’S ATLANTIC CITY OPERATING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2">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CORP.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AC CONFERENCE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BENCO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BV MANAGER,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BALLY’S 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CROMWELL, LLC</w:t>
      </w:r>
    </w:p>
    <w:p>
      <w:pPr>
        <w:spacing w:after="0" w:line="13" w:lineRule="exact"/>
        <w:rPr>
          <w:sz w:val="20"/>
          <w:szCs w:val="20"/>
          <w:color w:val="auto"/>
        </w:rPr>
      </w:pPr>
    </w:p>
    <w:p>
      <w:pPr>
        <w:ind w:left="2120" w:right="2079"/>
        <w:spacing w:after="0" w:line="246" w:lineRule="auto"/>
        <w:rPr>
          <w:sz w:val="20"/>
          <w:szCs w:val="20"/>
          <w:color w:val="auto"/>
        </w:rPr>
      </w:pPr>
      <w:r>
        <w:rPr>
          <w:rFonts w:ascii="Times New Roman" w:cs="Times New Roman" w:eastAsia="Times New Roman" w:hAnsi="Times New Roman"/>
          <w:sz w:val="20"/>
          <w:szCs w:val="20"/>
          <w:color w:val="auto"/>
        </w:rPr>
        <w:t>CAESARS GROWTH HARRAH’S NEW ORLEANS, LLC CAESARS GROWTH PH FEE,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QUAD,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NEVADA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NEW JERSEY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OCTAVIUS,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REALTY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RESORT COLLECTION,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TREX,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MARKETING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CALIFORNIA CLEARING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CASINO COMPUTER PROGRAMMING,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ACQUISITION,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COLORADO,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CEOC,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DOWNS AND MARINA,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FACILITY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CORNER INVESTMENT COMPANY,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CRC FINCO,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DESERT PALACE LLC</w:t>
      </w:r>
    </w:p>
    <w:p>
      <w:pPr>
        <w:spacing w:after="0" w:line="6" w:lineRule="exact"/>
        <w:rPr>
          <w:sz w:val="20"/>
          <w:szCs w:val="20"/>
          <w:color w:val="auto"/>
        </w:rPr>
      </w:pPr>
    </w:p>
    <w:p>
      <w:pPr>
        <w:ind w:left="2120" w:right="2099"/>
        <w:spacing w:after="0" w:line="246" w:lineRule="auto"/>
        <w:rPr>
          <w:sz w:val="20"/>
          <w:szCs w:val="20"/>
          <w:color w:val="auto"/>
        </w:rPr>
      </w:pPr>
      <w:r>
        <w:rPr>
          <w:rFonts w:ascii="Times New Roman" w:cs="Times New Roman" w:eastAsia="Times New Roman" w:hAnsi="Times New Roman"/>
          <w:sz w:val="20"/>
          <w:szCs w:val="20"/>
          <w:color w:val="auto"/>
        </w:rPr>
        <w:t>FLAMINGO LAS VEGAS OPERATING COMPANY, LLC GRAND CASINOS OF BILOXI,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GRAND CASINOS,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Jr._____________________</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 SOUTH SHORE CORPORATION</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ARIZONA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ATLANTIC CITY PROPCO, LLC</w:t>
      </w:r>
    </w:p>
    <w:p>
      <w:pPr>
        <w:spacing w:after="0" w:line="13" w:lineRule="exact"/>
        <w:rPr>
          <w:sz w:val="20"/>
          <w:szCs w:val="20"/>
          <w:color w:val="auto"/>
        </w:rPr>
      </w:pPr>
    </w:p>
    <w:p>
      <w:pPr>
        <w:ind w:left="2120" w:right="1239"/>
        <w:spacing w:after="0" w:line="246" w:lineRule="auto"/>
        <w:rPr>
          <w:sz w:val="20"/>
          <w:szCs w:val="20"/>
          <w:color w:val="auto"/>
        </w:rPr>
      </w:pPr>
      <w:r>
        <w:rPr>
          <w:rFonts w:ascii="Times New Roman" w:cs="Times New Roman" w:eastAsia="Times New Roman" w:hAnsi="Times New Roman"/>
          <w:sz w:val="20"/>
          <w:szCs w:val="20"/>
          <w:color w:val="auto"/>
        </w:rPr>
        <w:t>HARRAH’S CHESTER DOWNS INVESTMENT COMPANY, LLC HARRAH’S CHESTER DOWNS MANAGEMENT COMPANY, LLC HARRAH’S ILLINOIS LLC</w:t>
      </w:r>
    </w:p>
    <w:p>
      <w:pPr>
        <w:spacing w:after="0" w:line="1" w:lineRule="exact"/>
        <w:rPr>
          <w:sz w:val="20"/>
          <w:szCs w:val="20"/>
          <w:color w:val="auto"/>
        </w:rPr>
      </w:pPr>
    </w:p>
    <w:p>
      <w:pPr>
        <w:ind w:left="2120" w:right="2179"/>
        <w:spacing w:after="0" w:line="248" w:lineRule="auto"/>
        <w:rPr>
          <w:sz w:val="20"/>
          <w:szCs w:val="20"/>
          <w:color w:val="auto"/>
        </w:rPr>
      </w:pPr>
      <w:r>
        <w:rPr>
          <w:rFonts w:ascii="Times New Roman" w:cs="Times New Roman" w:eastAsia="Times New Roman" w:hAnsi="Times New Roman"/>
          <w:sz w:val="20"/>
          <w:szCs w:val="20"/>
          <w:color w:val="auto"/>
        </w:rPr>
        <w:t>HARRAH’S INTERACTIVE INVESTMENT COMPANY HARRAH’S IOWA ARENA MANAGEMENT, LLC HARRAH’S LAS VEGAS, LLC</w:t>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MANAGEMENT COMPANY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NC CASINO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NEBRASKA, LLC</w:t>
      </w:r>
    </w:p>
    <w:p>
      <w:pPr>
        <w:spacing w:after="0" w:line="13" w:lineRule="exact"/>
        <w:rPr>
          <w:sz w:val="20"/>
          <w:szCs w:val="20"/>
          <w:color w:val="auto"/>
        </w:rPr>
      </w:pPr>
    </w:p>
    <w:p>
      <w:pPr>
        <w:ind w:left="2120" w:right="1499"/>
        <w:spacing w:after="0" w:line="246" w:lineRule="auto"/>
        <w:rPr>
          <w:sz w:val="20"/>
          <w:szCs w:val="20"/>
          <w:color w:val="auto"/>
        </w:rPr>
      </w:pPr>
      <w:r>
        <w:rPr>
          <w:rFonts w:ascii="Times New Roman" w:cs="Times New Roman" w:eastAsia="Times New Roman" w:hAnsi="Times New Roman"/>
          <w:sz w:val="20"/>
          <w:szCs w:val="20"/>
          <w:color w:val="auto"/>
        </w:rPr>
        <w:t>HARRAH’S NEW ORLEANS MANAGEMENT COMPANY LLC HARRAH’S NORTH KANSAS CITY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OKLAHOMA, LLC</w:t>
      </w:r>
    </w:p>
    <w:p>
      <w:pPr>
        <w:spacing w:after="0" w:line="6" w:lineRule="exact"/>
        <w:rPr>
          <w:sz w:val="20"/>
          <w:szCs w:val="20"/>
          <w:color w:val="auto"/>
        </w:rPr>
      </w:pPr>
    </w:p>
    <w:p>
      <w:pPr>
        <w:ind w:left="2120" w:right="399"/>
        <w:spacing w:after="0" w:line="248" w:lineRule="auto"/>
        <w:rPr>
          <w:sz w:val="20"/>
          <w:szCs w:val="20"/>
          <w:color w:val="auto"/>
        </w:rPr>
      </w:pPr>
      <w:r>
        <w:rPr>
          <w:rFonts w:ascii="Times New Roman" w:cs="Times New Roman" w:eastAsia="Times New Roman" w:hAnsi="Times New Roman"/>
          <w:sz w:val="20"/>
          <w:szCs w:val="20"/>
          <w:color w:val="auto"/>
        </w:rPr>
        <w:t>HARRAH’S SHREVEPORT/BOSSIER CITY INVESTMENT COMPANY, LLC HARVEYS BR MANAGEMENT COMPANY, INC. HARVEYS IOWA MANAGEMENT COMPANY LLC</w:t>
      </w:r>
    </w:p>
    <w:p>
      <w:pPr>
        <w:spacing w:after="0" w:line="3"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HARVEYS TAHOE MANAGEMENT COMPANY LLC HBR REALTY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HCAL,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HOLE IN THE WALL,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HOOSIER PARK,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ENTERTAINMENT</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GAMING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HAMMOND,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HTM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JAZZ CASINO COMPANY,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FULTON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HOLDING COMPANY II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LAUNDRY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LINQCUP,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CENTAUR, LLC</w:t>
      </w:r>
    </w:p>
    <w:p>
      <w:pPr>
        <w:spacing w:after="0" w:line="6" w:lineRule="exact"/>
        <w:rPr>
          <w:sz w:val="20"/>
          <w:szCs w:val="20"/>
          <w:color w:val="auto"/>
        </w:rPr>
      </w:pPr>
    </w:p>
    <w:p>
      <w:pPr>
        <w:ind w:left="2120" w:right="59"/>
        <w:spacing w:after="0" w:line="257" w:lineRule="auto"/>
        <w:rPr>
          <w:sz w:val="20"/>
          <w:szCs w:val="20"/>
          <w:color w:val="auto"/>
        </w:rPr>
      </w:pPr>
      <w:r>
        <w:rPr>
          <w:rFonts w:ascii="Times New Roman" w:cs="Times New Roman" w:eastAsia="Times New Roman" w:hAnsi="Times New Roman"/>
          <w:sz w:val="20"/>
          <w:szCs w:val="20"/>
          <w:color w:val="auto"/>
        </w:rPr>
        <w:t>NEW GAMING CAPITAL PARTNERSHIP, A NEVADA LIMITED PARTNERSHIP NEW ROBINSON PROPERTY GROUP LLC OS HOLDCO, LLC</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PARIS LAS VEGAS OPERATING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 MANAGER,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PIER AT CAESARS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INTERNATIONAL,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RIO PROPERTIES,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ROBINSON PROPERTY GROUP LLC</w:t>
      </w:r>
    </w:p>
    <w:p>
      <w:pPr>
        <w:spacing w:after="0" w:line="6" w:lineRule="exact"/>
        <w:rPr>
          <w:sz w:val="20"/>
          <w:szCs w:val="20"/>
          <w:color w:val="auto"/>
        </w:rPr>
      </w:pPr>
    </w:p>
    <w:p>
      <w:pPr>
        <w:ind w:left="2120" w:right="1639"/>
        <w:spacing w:after="0" w:line="246" w:lineRule="auto"/>
        <w:rPr>
          <w:sz w:val="20"/>
          <w:szCs w:val="20"/>
          <w:color w:val="auto"/>
        </w:rPr>
      </w:pPr>
      <w:r>
        <w:rPr>
          <w:rFonts w:ascii="Times New Roman" w:cs="Times New Roman" w:eastAsia="Times New Roman" w:hAnsi="Times New Roman"/>
          <w:sz w:val="20"/>
          <w:szCs w:val="20"/>
          <w:color w:val="auto"/>
        </w:rPr>
        <w:t>ROMAN HOLDING COMPANY OF INDIANA LLC SHOWBOAT ATLANTIC CITY OPERATING COMPANY, LLC SOUTHERN ILLINOIS RIVERBOAT/CASINO CRUISES LLC TUNICA ROADHOUSE LLC</w:t>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5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Edmund L. Quatmann, Jr._____________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5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IPB SERVICES,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CEOC, LLC, its sole member</w:t>
      </w:r>
    </w:p>
    <w:p>
      <w:pPr>
        <w:spacing w:after="0" w:line="3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3">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27" w:lineRule="exact"/>
        <w:rPr>
          <w:sz w:val="20"/>
          <w:szCs w:val="20"/>
          <w:color w:val="auto"/>
        </w:rPr>
      </w:pPr>
    </w:p>
    <w:p>
      <w:pPr>
        <w:ind w:left="2120" w:right="1759"/>
        <w:spacing w:after="0" w:line="269"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-10795</wp:posOffset>
            </wp:positionV>
            <wp:extent cx="1257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4.625% Senior Notes due 2029]</w:t>
      </w:r>
    </w:p>
    <w:p>
      <w:pPr>
        <w:sectPr>
          <w:pgSz w:w="11900" w:h="16838" w:orient="portrait"/>
          <w:cols w:equalWidth="0" w:num="1">
            <w:col w:w="9019"/>
          </w:cols>
          <w:pgMar w:left="1440" w:top="1440"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New Guarantors</w:t>
      </w:r>
    </w:p>
    <w:p>
      <w:pPr>
        <w:sectPr>
          <w:pgSz w:w="11900" w:h="16838" w:orient="portrait"/>
          <w:cols w:equalWidth="0" w:num="1">
            <w:col w:w="9019"/>
          </w:cols>
          <w:pgMar w:left="1440" w:top="1413" w:right="1440"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shd w:val="clear" w:color="auto" w:fill="D9D9D9"/>
          </w:tcPr>
          <w:p>
            <w:pPr>
              <w:ind w:left="278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Jurisdiction of Organization</w:t>
            </w:r>
          </w:p>
        </w:tc>
      </w:tr>
      <w:tr>
        <w:trPr>
          <w:trHeight w:val="62"/>
        </w:trPr>
        <w:tc>
          <w:tcPr>
            <w:tcW w:w="65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140" w:type="dxa"/>
            <w:vAlign w:val="bottom"/>
            <w:tcBorders>
              <w:bottom w:val="single" w:sz="8" w:color="auto"/>
              <w:right w:val="single" w:sz="8" w:color="auto"/>
            </w:tcBorders>
            <w:shd w:val="clear" w:color="auto" w:fill="D9D9D9"/>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Corp.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 Conference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Bally’s Park Place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Benco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BL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Boardwalk Regency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BV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Bally’s 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Cromwell,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Harrah’s New Orleans,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Fee,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Quad,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Nevada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New Jersey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OCTAVIUS,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Realty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Resort Collection,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TREX,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Marketing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CALIFORNIA CLEARING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Casino Computer Programming,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ACQUISITION,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Colorado,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Holdings,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CEOC,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Downs and Marina,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Pennsylvania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Facility Holding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Corner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CRC Finco,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Desert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Flamingo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of Biloxi,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 SOUTH SHORE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ARIZONA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6" w:right="1439" w:bottom="595" w:gutter="0" w:footer="0" w:header="0"/>
        </w:sectPr>
      </w:pPr>
    </w:p>
    <w:bookmarkStart w:id="143" w:name="page144"/>
    <w:bookmarkEnd w:id="1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Propco,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Illinois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INTERACTIVE INVESTMENT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Iowa Arena Management,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Las Vegas,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Laughlin,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Management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NC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North Carolina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Nebraska,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New Orleans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North Kansas City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Missouri</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Oklahoma,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Shreveport/Bossier City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BR MANAGEMENT COMPANY,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Iowa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Tahoe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HBR Realty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Hole in the Wall,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Hoosier Park,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ENTERTAINMENT</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Gaming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Hammond,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HTM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IPB Services,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Jazz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Fulton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Holding Company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Laundry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LINQCUP,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Centaur,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Gaming Capital Partnership, a Nevada Limited Partnership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OS Holdco,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40" w:right="1439" w:bottom="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9019"/>
          </w:cols>
          <w:pgMar w:left="1440" w:top="900" w:right="1440" w:bottom="1440" w:gutter="0" w:footer="0" w:header="0"/>
        </w:sectPr>
      </w:pPr>
    </w:p>
    <w:bookmarkStart w:id="146" w:name="page147"/>
    <w:bookmarkEnd w:id="14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NewCo,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Paris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Pier at Caesars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International,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Rio Properties,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Mississippi</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Roman Holding Company of Indiana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Showboat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Southern Illinois Riverboat/Casino Cruises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Illinois</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Tunica Roadhouse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9700"/>
          </w:cols>
          <w:pgMar w:left="760" w:top="1440" w:right="14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THIRD SUPPLEMENTAL INDENTURE</w:t>
      </w:r>
    </w:p>
    <w:p>
      <w:pPr>
        <w:spacing w:after="0" w:line="3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THIRD SUPPLEMENTAL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xml:space="preserve">”), dated as of August 23, 2024, among the entities listed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u w:val="single" w:color="auto"/>
          <w:color w:val="auto"/>
        </w:rPr>
        <w:t>New Guarantor</w:t>
      </w:r>
      <w:r>
        <w:rPr>
          <w:rFonts w:ascii="Times New Roman" w:cs="Times New Roman" w:eastAsia="Times New Roman" w:hAnsi="Times New Roman"/>
          <w:sz w:val="20"/>
          <w:szCs w:val="20"/>
          <w:color w:val="auto"/>
        </w:rPr>
        <w:t>”), CAESARS ENTERTAINMENT,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other Subsidiary Guarantors (as defined in the Indenture referred to herein), U.S. BANK TRUST COMPANY, NATIONAL ASSOCIATION, as trustee (in such capacity,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and U.S. BANK NATIONAL ASSOCIATION, as collateral agent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Company has heretofore executed and delivered to the Trustee and the Collateral Agent an indenture, dated as of February 6, 2023, providing for the issuance of 7.000% Senior Secured Notes due 2030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initially in the aggregate principal amount of $2,000,000,000, as supplemented by that certain supplemental indenture, dated as of March 24, 2023, by and among the Company, the Subsidiary Guarantors party thereto, the Trustee and the Collateral Agent, and that certain supplemental indenture dated as of November 3, 2023, by and among the Company, the Subsidiary Guarantors party thereto, the Trustee and the Collateral Agent (as further amended,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w:t>
      </w:r>
    </w:p>
    <w:p>
      <w:pPr>
        <w:spacing w:after="0" w:line="3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Section 4.11 of the Indenture provides that under certain circumstances the Company is required to cause each New Guarantor to execute and deliver to the Trustee a supplemental indenture pursuant to which each New Guarantor shall unconditionally guarantee all the Issuer’s Obligations under the Notes and the Indenture pursuant to a Note Guarantee on the terms and conditions set forth herein; and</w:t>
      </w:r>
    </w:p>
    <w:p>
      <w:pPr>
        <w:spacing w:after="0" w:line="21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Section 9.01 of the Indenture, the Trustee, the Collateral Agent, the Company and the Subsidiary Guarantors, if any, are authorized to execute and deliver this Supplemental Indenture without the consent of the holders.</w:t>
      </w:r>
    </w:p>
    <w:p>
      <w:pPr>
        <w:spacing w:after="0" w:line="2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each New Guarantor, the Company, the Subsidiary Guarantors, the Trustee, and the Collateral Agent mutually covenant and agree for the equal and ratable benefit of the holders of the Notes as follows:</w:t>
      </w:r>
    </w:p>
    <w:p>
      <w:pPr>
        <w:spacing w:after="0" w:line="208" w:lineRule="exact"/>
        <w:rPr>
          <w:sz w:val="20"/>
          <w:szCs w:val="20"/>
          <w:color w:val="auto"/>
        </w:rPr>
      </w:pPr>
    </w:p>
    <w:p>
      <w:pPr>
        <w:jc w:val="both"/>
        <w:ind w:firstLine="656"/>
        <w:spacing w:after="0" w:line="253" w:lineRule="auto"/>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23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Each New Guarantor hereby agrees, jointly and severally with all existing guarantors (if any), to unconditionally guarantee the Company’s Obligations under the Notes and the Indenture on the terms and subject to the conditions set forth in Article XIII of the Indenture and to be bound by all other applicable provisions of the Indenture and the Notes and to perform all of the obligations and agreements of a guarantor under the Indenture. From and after the date hereof, all references in the Indenture to the “Guarantors” and the “Subsidiary Guarantors” shall include the New Guarantors.</w:t>
      </w:r>
    </w:p>
    <w:p>
      <w:pPr>
        <w:sectPr>
          <w:pgSz w:w="11900" w:h="16838" w:orient="portrait"/>
          <w:cols w:equalWidth="0" w:num="1">
            <w:col w:w="11240"/>
          </w:cols>
          <w:pgMar w:left="320" w:top="114" w:right="339" w:bottom="1440" w:gutter="0" w:footer="0" w:header="0"/>
        </w:sectPr>
      </w:pPr>
    </w:p>
    <w:bookmarkStart w:id="148" w:name="page149"/>
    <w:bookmarkEnd w:id="148"/>
    <w:p>
      <w:pPr>
        <w:spacing w:after="0" w:line="230" w:lineRule="exact"/>
        <w:rPr>
          <w:sz w:val="20"/>
          <w:szCs w:val="20"/>
          <w:color w:val="auto"/>
        </w:rPr>
      </w:pPr>
    </w:p>
    <w:p>
      <w:pPr>
        <w:ind w:firstLine="656"/>
        <w:spacing w:after="0" w:line="284"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to each New Guarantor shall be given at the following address: Caesars Entertainment, Inc., 100 West Liberty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Reno, Nevada 89501, Facsimile: (775) 337-9218 Attn: Chief Financial Officer.</w:t>
      </w:r>
    </w:p>
    <w:p>
      <w:pPr>
        <w:spacing w:after="0" w:line="170"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and Delivery</w:t>
      </w:r>
      <w:r>
        <w:rPr>
          <w:rFonts w:ascii="Times New Roman" w:cs="Times New Roman" w:eastAsia="Times New Roman" w:hAnsi="Times New Roman"/>
          <w:sz w:val="20"/>
          <w:szCs w:val="20"/>
          <w:color w:val="auto"/>
        </w:rPr>
        <w:t>. Each New Guarantor agrees that its Note Guarantee shall remain in full force and effect notwithstanding the absence of the endorsement of any notation of such Note Guarantee.</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21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New York.</w:t>
      </w:r>
    </w:p>
    <w:p>
      <w:pPr>
        <w:spacing w:after="0" w:line="24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218" w:lineRule="exact"/>
        <w:rPr>
          <w:rFonts w:ascii="Times New Roman" w:cs="Times New Roman" w:eastAsia="Times New Roman" w:hAnsi="Times New Roman"/>
          <w:sz w:val="20"/>
          <w:szCs w:val="20"/>
          <w:color w:val="auto"/>
        </w:rPr>
      </w:pPr>
    </w:p>
    <w:p>
      <w:pPr>
        <w:ind w:right="20" w:firstLine="656"/>
        <w:spacing w:after="0" w:line="283"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Makes No Representation</w:t>
      </w:r>
      <w:r>
        <w:rPr>
          <w:rFonts w:ascii="Times New Roman" w:cs="Times New Roman" w:eastAsia="Times New Roman" w:hAnsi="Times New Roman"/>
          <w:sz w:val="20"/>
          <w:szCs w:val="20"/>
          <w:color w:val="auto"/>
        </w:rPr>
        <w:t>. The Trustee and the Collateral Agent make no representation as to the validity or sufficiency of this Supplemental Indenture.</w:t>
      </w:r>
    </w:p>
    <w:p>
      <w:pPr>
        <w:spacing w:after="0" w:line="254"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Supplemental Indenture. Each signed copy shall be an original, but all of them together represent the same agreement.</w:t>
      </w:r>
    </w:p>
    <w:p>
      <w:pPr>
        <w:spacing w:after="0" w:line="254" w:lineRule="exact"/>
        <w:rPr>
          <w:rFonts w:ascii="Times New Roman" w:cs="Times New Roman" w:eastAsia="Times New Roman" w:hAnsi="Times New Roman"/>
          <w:sz w:val="20"/>
          <w:szCs w:val="20"/>
          <w:color w:val="auto"/>
        </w:rPr>
      </w:pPr>
    </w:p>
    <w:p>
      <w:pPr>
        <w:ind w:left="4620" w:right="560" w:hanging="3964"/>
        <w:spacing w:after="0" w:line="536" w:lineRule="auto"/>
        <w:tabs>
          <w:tab w:leader="none" w:pos="129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 thereof. [Signature Pages Follow]</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1F1F1F"/>
        </w:rPr>
        <w:t xml:space="preserve">IN </w:t>
      </w:r>
      <w:r>
        <w:rPr>
          <w:rFonts w:ascii="Times New Roman" w:cs="Times New Roman" w:eastAsia="Times New Roman" w:hAnsi="Times New Roman"/>
          <w:sz w:val="19"/>
          <w:szCs w:val="19"/>
          <w:color w:val="343434"/>
        </w:rPr>
        <w:t>WITNESS WHEREOF, the</w:t>
      </w:r>
      <w:r>
        <w:rPr>
          <w:rFonts w:ascii="Times New Roman" w:cs="Times New Roman" w:eastAsia="Times New Roman" w:hAnsi="Times New Roman"/>
          <w:sz w:val="19"/>
          <w:szCs w:val="19"/>
          <w:color w:val="1F1F1F"/>
        </w:rPr>
        <w:t xml:space="preserve"> part</w:t>
      </w:r>
      <w:r>
        <w:rPr>
          <w:rFonts w:ascii="Times New Roman" w:cs="Times New Roman" w:eastAsia="Times New Roman" w:hAnsi="Times New Roman"/>
          <w:sz w:val="19"/>
          <w:szCs w:val="19"/>
          <w:color w:val="050505"/>
        </w:rPr>
        <w:t>i</w:t>
      </w:r>
      <w:r>
        <w:rPr>
          <w:rFonts w:ascii="Times New Roman" w:cs="Times New Roman" w:eastAsia="Times New Roman" w:hAnsi="Times New Roman"/>
          <w:sz w:val="19"/>
          <w:szCs w:val="19"/>
          <w:color w:val="494949"/>
        </w:rPr>
        <w:t>es</w:t>
      </w:r>
      <w:r>
        <w:rPr>
          <w:rFonts w:ascii="Times New Roman" w:cs="Times New Roman" w:eastAsia="Times New Roman" w:hAnsi="Times New Roman"/>
          <w:sz w:val="19"/>
          <w:szCs w:val="19"/>
          <w:color w:val="1F1F1F"/>
        </w:rPr>
        <w:t xml:space="preserve"> h</w:t>
      </w:r>
      <w:r>
        <w:rPr>
          <w:rFonts w:ascii="Times New Roman" w:cs="Times New Roman" w:eastAsia="Times New Roman" w:hAnsi="Times New Roman"/>
          <w:sz w:val="19"/>
          <w:szCs w:val="19"/>
          <w:color w:val="494949"/>
        </w:rPr>
        <w:t>ere</w:t>
      </w:r>
      <w:r>
        <w:rPr>
          <w:rFonts w:ascii="Times New Roman" w:cs="Times New Roman" w:eastAsia="Times New Roman" w:hAnsi="Times New Roman"/>
          <w:sz w:val="19"/>
          <w:szCs w:val="19"/>
          <w:color w:val="1F1F1F"/>
        </w:rPr>
        <w:t xml:space="preserve">to </w:t>
      </w:r>
      <w:r>
        <w:rPr>
          <w:rFonts w:ascii="Times New Roman" w:cs="Times New Roman" w:eastAsia="Times New Roman" w:hAnsi="Times New Roman"/>
          <w:sz w:val="19"/>
          <w:szCs w:val="19"/>
          <w:color w:val="343434"/>
        </w:rPr>
        <w:t>have caused this</w:t>
      </w:r>
      <w:r>
        <w:rPr>
          <w:rFonts w:ascii="Times New Roman" w:cs="Times New Roman" w:eastAsia="Times New Roman" w:hAnsi="Times New Roman"/>
          <w:sz w:val="19"/>
          <w:szCs w:val="19"/>
          <w:color w:val="1F1F1F"/>
        </w:rPr>
        <w:t xml:space="preserve"> Supplement</w:t>
      </w:r>
      <w:r>
        <w:rPr>
          <w:rFonts w:ascii="Times New Roman" w:cs="Times New Roman" w:eastAsia="Times New Roman" w:hAnsi="Times New Roman"/>
          <w:sz w:val="19"/>
          <w:szCs w:val="19"/>
          <w:color w:val="494949"/>
        </w:rPr>
        <w:t>a</w:t>
      </w:r>
      <w:r>
        <w:rPr>
          <w:rFonts w:ascii="Times New Roman" w:cs="Times New Roman" w:eastAsia="Times New Roman" w:hAnsi="Times New Roman"/>
          <w:sz w:val="19"/>
          <w:szCs w:val="19"/>
          <w:color w:val="050505"/>
        </w:rPr>
        <w:t>l</w:t>
      </w:r>
      <w:r>
        <w:rPr>
          <w:rFonts w:ascii="Times New Roman" w:cs="Times New Roman" w:eastAsia="Times New Roman" w:hAnsi="Times New Roman"/>
          <w:sz w:val="19"/>
          <w:szCs w:val="19"/>
          <w:color w:val="1F1F1F"/>
        </w:rPr>
        <w:t xml:space="preserve"> Indenture </w:t>
      </w:r>
      <w:r>
        <w:rPr>
          <w:rFonts w:ascii="Times New Roman" w:cs="Times New Roman" w:eastAsia="Times New Roman" w:hAnsi="Times New Roman"/>
          <w:sz w:val="19"/>
          <w:szCs w:val="19"/>
          <w:color w:val="494949"/>
        </w:rPr>
        <w:t>to</w:t>
      </w:r>
      <w:r>
        <w:rPr>
          <w:rFonts w:ascii="Times New Roman" w:cs="Times New Roman" w:eastAsia="Times New Roman" w:hAnsi="Times New Roman"/>
          <w:sz w:val="19"/>
          <w:szCs w:val="19"/>
          <w:color w:val="1F1F1F"/>
        </w:rPr>
        <w:t xml:space="preserve"> </w:t>
      </w:r>
      <w:r>
        <w:rPr>
          <w:rFonts w:ascii="Times New Roman" w:cs="Times New Roman" w:eastAsia="Times New Roman" w:hAnsi="Times New Roman"/>
          <w:sz w:val="19"/>
          <w:szCs w:val="19"/>
          <w:color w:val="343434"/>
        </w:rPr>
        <w:t>be duly executed as</w:t>
      </w:r>
      <w:r>
        <w:rPr>
          <w:rFonts w:ascii="Times New Roman" w:cs="Times New Roman" w:eastAsia="Times New Roman" w:hAnsi="Times New Roman"/>
          <w:sz w:val="19"/>
          <w:szCs w:val="19"/>
          <w:color w:val="1F1F1F"/>
        </w:rPr>
        <w:t xml:space="preserve"> of </w:t>
      </w:r>
      <w:r>
        <w:rPr>
          <w:rFonts w:ascii="Times New Roman" w:cs="Times New Roman" w:eastAsia="Times New Roman" w:hAnsi="Times New Roman"/>
          <w:sz w:val="19"/>
          <w:szCs w:val="19"/>
          <w:color w:val="343434"/>
        </w:rPr>
        <w:t>the date</w:t>
      </w:r>
      <w:r>
        <w:rPr>
          <w:rFonts w:ascii="Times New Roman" w:cs="Times New Roman" w:eastAsia="Times New Roman" w:hAnsi="Times New Roman"/>
          <w:sz w:val="19"/>
          <w:szCs w:val="19"/>
          <w:color w:val="1F1F1F"/>
        </w:rPr>
        <w:t xml:space="preserve"> first </w:t>
      </w:r>
      <w:r>
        <w:rPr>
          <w:rFonts w:ascii="Times New Roman" w:cs="Times New Roman" w:eastAsia="Times New Roman" w:hAnsi="Times New Roman"/>
          <w:sz w:val="19"/>
          <w:szCs w:val="19"/>
          <w:color w:val="343434"/>
        </w:rPr>
        <w:t>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43434"/>
        </w:rPr>
        <w:t>written.</w:t>
      </w:r>
    </w:p>
    <w:p>
      <w:pPr>
        <w:spacing w:after="0" w:line="3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CAESARS ENTERTAINMENT, INC.,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Company</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125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[Signature Page to Third Supplemental Indenture – CEI 7.00% Senior Secured Notes due 2030]</w:t>
      </w:r>
    </w:p>
    <w:p>
      <w:pPr>
        <w:sectPr>
          <w:pgSz w:w="11900" w:h="16838" w:orient="portrait"/>
          <w:cols w:equalWidth="0" w:num="1">
            <w:col w:w="11080"/>
          </w:cols>
          <w:pgMar w:left="320" w:top="1440" w:right="499" w:bottom="1440" w:gutter="0" w:footer="0" w:header="0"/>
        </w:sectPr>
      </w:pPr>
    </w:p>
    <w:bookmarkStart w:id="150" w:name="page151"/>
    <w:bookmarkEnd w:id="150"/>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AMERICAN WAGERING,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GAMING,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MANUFACTURING,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AZTAR RIVERBOAT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BLACK HAWK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BRANDYWINE BOOKMAKING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BW SUB CO.</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CONVENTION CENTER OWNER,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DUBAI,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PARTNERS,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HOLDINGS,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INTERNATIONAL HOSPITALITY,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PARLAY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CCR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CCSC/BLACKHAWK,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CIE GROWTH,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CIRCUS AND ELDORADO JOINT VENTURE,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COMPUTERIZED BOOKMAKING SYSTEMS,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CRS ANNEX,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DIGITAL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EASTSIDE CONVENTION CENTER,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 FIT,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LIMITED LIABILITY COMPANY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#1,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#2,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II LLC</w:t>
      </w:r>
    </w:p>
    <w:p>
      <w:pPr>
        <w:spacing w:after="0" w:line="6"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ELGIN RIVERBOAT RESORT–RIVERBOAT CASINO GB INVESTOR,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IC HOLDINGS COLORADO,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BLACK HAWK DISTRIBUTION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BOONVILLE,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LULA,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BLACK HAWK COUNTY,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BETTENDORF, 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BLACK HAWK,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CASINOS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LIGHTHOUSE POINT,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MTR GAMING GROUP,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JAZZ ENTERPRISES,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OLD PID,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POMPANO PARK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ROMULUS RISK AND INSURANCE COMPANY,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SCIOTO DOWNS,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ST. CHARLES GAMING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(ES),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 LOUIS 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(STLH),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ENTERTAINMENT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ST. LOUIS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VEGAS DEVELOPMENT LAND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WH NV III,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DFSB,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NEW JERSEY,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U.S. HOLDCO,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7">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ATLANTIC CITY CORP.,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INTERACTIVE ENTERTAINMENT NEW JERSEY,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BALLY’S PARK PLACE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BOARDWALK REGENCY LLC</w:t>
      </w:r>
    </w:p>
    <w:p>
      <w:pPr>
        <w:spacing w:after="0" w:line="6" w:lineRule="exact"/>
        <w:rPr>
          <w:sz w:val="20"/>
          <w:szCs w:val="20"/>
          <w:color w:val="auto"/>
        </w:rPr>
      </w:pPr>
    </w:p>
    <w:p>
      <w:pPr>
        <w:ind w:left="2120" w:right="2159"/>
        <w:spacing w:after="0" w:line="246" w:lineRule="auto"/>
        <w:rPr>
          <w:sz w:val="20"/>
          <w:szCs w:val="20"/>
          <w:color w:val="auto"/>
        </w:rPr>
      </w:pPr>
      <w:r>
        <w:rPr>
          <w:rFonts w:ascii="Times New Roman" w:cs="Times New Roman" w:eastAsia="Times New Roman" w:hAnsi="Times New Roman"/>
          <w:sz w:val="20"/>
          <w:szCs w:val="20"/>
          <w:color w:val="auto"/>
        </w:rPr>
        <w:t>HARRAH’S ATLANTIC CITY OPERATING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8">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CORP.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AC CONFERENCE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BENCO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BV MANAGER,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BALLY’S 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CROMWELL, LLC</w:t>
      </w:r>
    </w:p>
    <w:p>
      <w:pPr>
        <w:spacing w:after="0" w:line="13" w:lineRule="exact"/>
        <w:rPr>
          <w:sz w:val="20"/>
          <w:szCs w:val="20"/>
          <w:color w:val="auto"/>
        </w:rPr>
      </w:pPr>
    </w:p>
    <w:p>
      <w:pPr>
        <w:ind w:left="2120" w:right="2079"/>
        <w:spacing w:after="0" w:line="246" w:lineRule="auto"/>
        <w:rPr>
          <w:sz w:val="20"/>
          <w:szCs w:val="20"/>
          <w:color w:val="auto"/>
        </w:rPr>
      </w:pPr>
      <w:r>
        <w:rPr>
          <w:rFonts w:ascii="Times New Roman" w:cs="Times New Roman" w:eastAsia="Times New Roman" w:hAnsi="Times New Roman"/>
          <w:sz w:val="20"/>
          <w:szCs w:val="20"/>
          <w:color w:val="auto"/>
        </w:rPr>
        <w:t>CAESARS GROWTH HARRAH’S NEW ORLEANS, LLC CAESARS GROWTH PH FEE,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QUAD,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NEVADA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NEW JERSEY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OCTAVIUS,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REALTY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RESORT COLLECTION,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TREX,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MARKETING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CALIFORNIA CLEARING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CASINO COMPUTER PROGRAMMING,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ACQUISITION,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COLORADO,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CEOC,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DOWNS AND MARINA,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FACILITY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CORNER INVESTMENT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CRC FINCO,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DESERT PALACE LLC</w:t>
      </w:r>
    </w:p>
    <w:p>
      <w:pPr>
        <w:spacing w:after="0" w:line="6" w:lineRule="exact"/>
        <w:rPr>
          <w:sz w:val="20"/>
          <w:szCs w:val="20"/>
          <w:color w:val="auto"/>
        </w:rPr>
      </w:pPr>
    </w:p>
    <w:p>
      <w:pPr>
        <w:ind w:left="2120" w:right="2099"/>
        <w:spacing w:after="0" w:line="246" w:lineRule="auto"/>
        <w:rPr>
          <w:sz w:val="20"/>
          <w:szCs w:val="20"/>
          <w:color w:val="auto"/>
        </w:rPr>
      </w:pPr>
      <w:r>
        <w:rPr>
          <w:rFonts w:ascii="Times New Roman" w:cs="Times New Roman" w:eastAsia="Times New Roman" w:hAnsi="Times New Roman"/>
          <w:sz w:val="20"/>
          <w:szCs w:val="20"/>
          <w:color w:val="auto"/>
        </w:rPr>
        <w:t>FLAMINGO LAS VEGAS OPERATING COMPANY, LLC GRAND CASINOS OF BILOXI,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GRAND CASINOS,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 SOUTH SHORE CORPORATION</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ARIZONA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ATLANTIC CITY PROPCO, LLC</w:t>
      </w:r>
    </w:p>
    <w:p>
      <w:pPr>
        <w:spacing w:after="0" w:line="13" w:lineRule="exact"/>
        <w:rPr>
          <w:sz w:val="20"/>
          <w:szCs w:val="20"/>
          <w:color w:val="auto"/>
        </w:rPr>
      </w:pPr>
    </w:p>
    <w:p>
      <w:pPr>
        <w:ind w:left="2120" w:right="1239"/>
        <w:spacing w:after="0" w:line="246" w:lineRule="auto"/>
        <w:rPr>
          <w:sz w:val="20"/>
          <w:szCs w:val="20"/>
          <w:color w:val="auto"/>
        </w:rPr>
      </w:pPr>
      <w:r>
        <w:rPr>
          <w:rFonts w:ascii="Times New Roman" w:cs="Times New Roman" w:eastAsia="Times New Roman" w:hAnsi="Times New Roman"/>
          <w:sz w:val="20"/>
          <w:szCs w:val="20"/>
          <w:color w:val="auto"/>
        </w:rPr>
        <w:t>HARRAH’S CHESTER DOWNS INVESTMENT COMPANY, LLC HARRAH’S CHESTER DOWNS MANAGEMENT COMPANY, LLC HARRAH’S ILLINOIS LLC</w:t>
      </w:r>
    </w:p>
    <w:p>
      <w:pPr>
        <w:spacing w:after="0" w:line="1" w:lineRule="exact"/>
        <w:rPr>
          <w:sz w:val="20"/>
          <w:szCs w:val="20"/>
          <w:color w:val="auto"/>
        </w:rPr>
      </w:pPr>
    </w:p>
    <w:p>
      <w:pPr>
        <w:ind w:left="2120" w:right="2179"/>
        <w:spacing w:after="0" w:line="248" w:lineRule="auto"/>
        <w:rPr>
          <w:sz w:val="20"/>
          <w:szCs w:val="20"/>
          <w:color w:val="auto"/>
        </w:rPr>
      </w:pPr>
      <w:r>
        <w:rPr>
          <w:rFonts w:ascii="Times New Roman" w:cs="Times New Roman" w:eastAsia="Times New Roman" w:hAnsi="Times New Roman"/>
          <w:sz w:val="20"/>
          <w:szCs w:val="20"/>
          <w:color w:val="auto"/>
        </w:rPr>
        <w:t>HARRAH’S INTERACTIVE INVESTMENT COMPANY HARRAH’S IOWA ARENA MANAGEMENT, LLC HARRAH’S LAS VEGAS, LLC</w:t>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MANAGEMENT COMPANY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NC CASINO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NEBRASKA, LLC</w:t>
      </w:r>
    </w:p>
    <w:p>
      <w:pPr>
        <w:spacing w:after="0" w:line="13" w:lineRule="exact"/>
        <w:rPr>
          <w:sz w:val="20"/>
          <w:szCs w:val="20"/>
          <w:color w:val="auto"/>
        </w:rPr>
      </w:pPr>
    </w:p>
    <w:p>
      <w:pPr>
        <w:ind w:left="2120" w:right="1499"/>
        <w:spacing w:after="0" w:line="246" w:lineRule="auto"/>
        <w:rPr>
          <w:sz w:val="20"/>
          <w:szCs w:val="20"/>
          <w:color w:val="auto"/>
        </w:rPr>
      </w:pPr>
      <w:r>
        <w:rPr>
          <w:rFonts w:ascii="Times New Roman" w:cs="Times New Roman" w:eastAsia="Times New Roman" w:hAnsi="Times New Roman"/>
          <w:sz w:val="20"/>
          <w:szCs w:val="20"/>
          <w:color w:val="auto"/>
        </w:rPr>
        <w:t>HARRAH’S NEW ORLEANS MANAGEMENT COMPANY LLC HARRAH’S NORTH KANSAS CITY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OKLAHOMA, LLC</w:t>
      </w:r>
    </w:p>
    <w:p>
      <w:pPr>
        <w:spacing w:after="0" w:line="6" w:lineRule="exact"/>
        <w:rPr>
          <w:sz w:val="20"/>
          <w:szCs w:val="20"/>
          <w:color w:val="auto"/>
        </w:rPr>
      </w:pPr>
    </w:p>
    <w:p>
      <w:pPr>
        <w:ind w:left="2120" w:right="399"/>
        <w:spacing w:after="0" w:line="248" w:lineRule="auto"/>
        <w:rPr>
          <w:sz w:val="20"/>
          <w:szCs w:val="20"/>
          <w:color w:val="auto"/>
        </w:rPr>
      </w:pPr>
      <w:r>
        <w:rPr>
          <w:rFonts w:ascii="Times New Roman" w:cs="Times New Roman" w:eastAsia="Times New Roman" w:hAnsi="Times New Roman"/>
          <w:sz w:val="20"/>
          <w:szCs w:val="20"/>
          <w:color w:val="auto"/>
        </w:rPr>
        <w:t>HARRAH’S SHREVEPORT/BOSSIER CITY INVESTMENT COMPANY, LLC HARVEYS BR MANAGEMENT COMPANY, INC. HARVEYS IOWA MANAGEMENT COMPANY LLC</w:t>
      </w:r>
    </w:p>
    <w:p>
      <w:pPr>
        <w:spacing w:after="0" w:line="3"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HARVEYS TAHOE MANAGEMENT COMPANY LLC HBR REALTY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HCAL,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HOLE IN THE WALL,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HOOSIER PARK,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ENTERTAINMENT</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GAMING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HAMMOND,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HTM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JAZZ CASINO COMPANY,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FULTON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HOLDING COMPANY II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LAUNDRY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LINQCUP,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CENTAUR, LLC</w:t>
      </w:r>
    </w:p>
    <w:p>
      <w:pPr>
        <w:spacing w:after="0" w:line="6" w:lineRule="exact"/>
        <w:rPr>
          <w:sz w:val="20"/>
          <w:szCs w:val="20"/>
          <w:color w:val="auto"/>
        </w:rPr>
      </w:pPr>
    </w:p>
    <w:p>
      <w:pPr>
        <w:ind w:left="2120" w:right="59"/>
        <w:spacing w:after="0" w:line="257" w:lineRule="auto"/>
        <w:rPr>
          <w:sz w:val="20"/>
          <w:szCs w:val="20"/>
          <w:color w:val="auto"/>
        </w:rPr>
      </w:pPr>
      <w:r>
        <w:rPr>
          <w:rFonts w:ascii="Times New Roman" w:cs="Times New Roman" w:eastAsia="Times New Roman" w:hAnsi="Times New Roman"/>
          <w:sz w:val="20"/>
          <w:szCs w:val="20"/>
          <w:color w:val="auto"/>
        </w:rPr>
        <w:t>NEW GAMING CAPITAL PARTNERSHIP, A NEVADA LIMITED PARTNERSHIP NEW ROBINSON PROPERTY GROUP LLC OS HOLDCO, LLC</w:t>
      </w: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PARIS LAS VEGAS OPERATING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 MANAGER,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PIER AT CAESARS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INTERNATIONAL,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RIO PROPERTIES,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ROBINSON PROPERTY GROUP LLC</w:t>
      </w:r>
    </w:p>
    <w:p>
      <w:pPr>
        <w:spacing w:after="0" w:line="6" w:lineRule="exact"/>
        <w:rPr>
          <w:sz w:val="20"/>
          <w:szCs w:val="20"/>
          <w:color w:val="auto"/>
        </w:rPr>
      </w:pPr>
    </w:p>
    <w:p>
      <w:pPr>
        <w:ind w:left="2120" w:right="1639"/>
        <w:spacing w:after="0" w:line="248" w:lineRule="auto"/>
        <w:rPr>
          <w:sz w:val="20"/>
          <w:szCs w:val="20"/>
          <w:color w:val="auto"/>
        </w:rPr>
      </w:pPr>
      <w:r>
        <w:rPr>
          <w:rFonts w:ascii="Times New Roman" w:cs="Times New Roman" w:eastAsia="Times New Roman" w:hAnsi="Times New Roman"/>
          <w:sz w:val="20"/>
          <w:szCs w:val="20"/>
          <w:color w:val="auto"/>
        </w:rPr>
        <w:t>ROMAN HOLDING COMPANY OF INDIANA LLC SHOWBOAT ATLANTIC CITY OPERATING COMPANY, LLC SOUTHERN ILLINOIS RIVERBOAT/CASINO CRUISES LLC TUNICA ROADHOUSE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Edmund L. Quatmann, Jr._____________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5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IPB SERVICES,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CEOC, LLC, its sole member</w:t>
      </w:r>
    </w:p>
    <w:p>
      <w:pPr>
        <w:spacing w:after="0" w:line="3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9">
                      <a:extLst>
                        <a:ext uri="{28A0092B-C50C-407E-A947-70E740481C1C}"/>
                      </a:extLst>
                    </a:blip>
                    <a:srcRect/>
                    <a:stretch>
                      <a:fillRect/>
                    </a:stretch>
                  </pic:blipFill>
                  <pic:spPr bwMode="auto">
                    <a:xfrm>
                      <a:off x="0" y="0"/>
                      <a:ext cx="1574165"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14" w:lineRule="exact"/>
        <w:rPr>
          <w:sz w:val="20"/>
          <w:szCs w:val="20"/>
          <w:color w:val="auto"/>
        </w:rPr>
      </w:pPr>
    </w:p>
    <w:p>
      <w:pPr>
        <w:ind w:left="2120" w:right="1759"/>
        <w:spacing w:after="0" w:line="269"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-10795</wp:posOffset>
            </wp:positionV>
            <wp:extent cx="1257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Collateral Agent</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-10795</wp:posOffset>
            </wp:positionV>
            <wp:extent cx="125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Third Supplemental Indenture – CEI 7.00% Senior Secured Notes due 2030]</w:t>
      </w:r>
    </w:p>
    <w:p>
      <w:pPr>
        <w:sectPr>
          <w:pgSz w:w="11900" w:h="16838" w:orient="portrait"/>
          <w:cols w:equalWidth="0" w:num="1">
            <w:col w:w="9019"/>
          </w:cols>
          <w:pgMar w:left="1440" w:top="1440"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New Guarantors</w:t>
      </w:r>
    </w:p>
    <w:p>
      <w:pPr>
        <w:sectPr>
          <w:pgSz w:w="11900" w:h="16838" w:orient="portrait"/>
          <w:cols w:equalWidth="0" w:num="1">
            <w:col w:w="9019"/>
          </w:cols>
          <w:pgMar w:left="1440" w:top="1413" w:right="1440"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shd w:val="clear" w:color="auto" w:fill="D9D9D9"/>
          </w:tcPr>
          <w:p>
            <w:pPr>
              <w:ind w:left="278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Jurisdiction of Organization</w:t>
            </w:r>
          </w:p>
        </w:tc>
      </w:tr>
      <w:tr>
        <w:trPr>
          <w:trHeight w:val="62"/>
        </w:trPr>
        <w:tc>
          <w:tcPr>
            <w:tcW w:w="65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140" w:type="dxa"/>
            <w:vAlign w:val="bottom"/>
            <w:tcBorders>
              <w:bottom w:val="single" w:sz="8" w:color="auto"/>
              <w:right w:val="single" w:sz="8" w:color="auto"/>
            </w:tcBorders>
            <w:shd w:val="clear" w:color="auto" w:fill="D9D9D9"/>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Corp.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 Conference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Bally’s Park Place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Benco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BL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Boardwalk Regency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BV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Bally’s 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Cromwell,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Harrah’s New Orleans,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Fee,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Quad,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Nevada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New Jersey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OCTAVIUS,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Realty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Resort Collection,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TREX,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Marketing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CALIFORNIA CLEARING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Casino Computer Programming,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ACQUISITION,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Colorado,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Holdings,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CEOC,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Downs and Marina,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Pennsylvania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Facility Holding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Corner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CRC Finco,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Desert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Flamingo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of Biloxi,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 SOUTH SHORE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ARIZONA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7" w:right="1439" w:bottom="595" w:gutter="0" w:footer="0" w:header="0"/>
        </w:sectPr>
      </w:pPr>
    </w:p>
    <w:bookmarkStart w:id="159" w:name="page160"/>
    <w:bookmarkEnd w:id="1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Propco,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Illinois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INTERACTIVE INVESTMENT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Iowa Arena Management,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Las Vegas,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Laughlin,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Management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NC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North Carolina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Nebraska,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New Orleans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North Kansas City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Missouri</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Oklahoma,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Shreveport/Bossier City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BR MANAGEMENT COMPANY,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Iowa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Tahoe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HBR Realty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Hole in the Wall,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Hoosier Park,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ENTERTAINMENT</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Gaming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Hammond,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HTM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IPB Services,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Jazz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Fulton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Holding Company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Laundry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LINQCUP,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Centaur,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Gaming Capital Partnership, a Nevada Limited Partnership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OS Holdco,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40" w:right="1439" w:bottom="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9019"/>
          </w:cols>
          <w:pgMar w:left="1440" w:top="900" w:right="1440" w:bottom="1440" w:gutter="0" w:footer="0" w:header="0"/>
        </w:sectPr>
      </w:pPr>
    </w:p>
    <w:bookmarkStart w:id="162" w:name="page163"/>
    <w:bookmarkEnd w:id="1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NewCo,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Paris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Pier at Caesars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International,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Rio Properties,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Mississippi</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Roman Holding Company of Indiana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Showboat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Southern Illinois Riverboat/Casino Cruises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Illinois</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Tunica Roadhouse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9700"/>
          </w:cols>
          <w:pgMar w:left="760" w:top="1440" w:right="14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SUPPLEMENTAL INDENTURE</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THIS SECOND SUPPLEMENTAL INDENTURE (this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xml:space="preserve">”), dated as of August 23, 2024, among the entities listed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(each, a “</w:t>
      </w:r>
      <w:r>
        <w:rPr>
          <w:rFonts w:ascii="Times New Roman" w:cs="Times New Roman" w:eastAsia="Times New Roman" w:hAnsi="Times New Roman"/>
          <w:sz w:val="19"/>
          <w:szCs w:val="19"/>
          <w:u w:val="single" w:color="auto"/>
          <w:color w:val="auto"/>
        </w:rPr>
        <w:t>New Guarantor</w:t>
      </w:r>
      <w:r>
        <w:rPr>
          <w:rFonts w:ascii="Times New Roman" w:cs="Times New Roman" w:eastAsia="Times New Roman" w:hAnsi="Times New Roman"/>
          <w:sz w:val="19"/>
          <w:szCs w:val="19"/>
          <w:color w:val="auto"/>
        </w:rPr>
        <w:t>”), CAESARS ENTERTAINMENT,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the other Subsidiary Guarantors (as defined in the Indenture referred to herein), U.S. BANK TRUST COMPANY, NATIONAL ASSOCIATION, as trustee (in such capacity,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and U.S. BANK NATIONAL ASSOCIATION, as collateral agent (in such capacity,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WHEREAS, the Company has heretofore executed and delivered to the Trustee and the Collateral Agent an indenture, dated as of February 6, 2024, providing for the issuance of 6.500% Senior Secured Notes due 2032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initially in the aggregate principal amount of $1,500,000,000, by and among the Company, the Subsidiary Guarantors party thereto, the Trustee and the Collateral Agent, as supplemented by that certain supplemental indenture, dated as of March 1, 2024, by and among the Company, the Subsidiary Guarantors party thereto, the Trustee and the Collateral Agent (as further amended,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Section 4.11 of the Indenture provides that under certain circumstances the Company is required to cause each New Guarantor to execute and deliver to the Trustee a supplemental indenture pursuant to which each New Guarantor shall unconditionally guarantee all the Company’s Obligations under the Notes and the Indenture pursuant to a Note Guarantee on the terms and conditions set forth herein; and</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Section 9.01 of the Indenture, the Trustee, the Collateral Agent, the Company and the Subsidiary Guarantors, if any, are authorized to execute and deliver this Supplemental Indenture without the consent of the holders.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each New Guarantor, the Company, the Subsidiary Guarantors, the Collateral Agent and the Trustee mutually covenant and agree for the equal and ratable benefit of the holders of the Notes as follows:</w:t>
      </w:r>
    </w:p>
    <w:p>
      <w:pPr>
        <w:spacing w:after="0" w:line="168" w:lineRule="exact"/>
        <w:rPr>
          <w:sz w:val="20"/>
          <w:szCs w:val="20"/>
          <w:color w:val="auto"/>
        </w:rPr>
      </w:pPr>
    </w:p>
    <w:p>
      <w:pPr>
        <w:jc w:val="both"/>
        <w:ind w:firstLine="656"/>
        <w:spacing w:after="0" w:line="217" w:lineRule="auto"/>
        <w:tabs>
          <w:tab w:leader="none" w:pos="12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Each New Guarantor hereby agrees, jointly and severally with all existing guarantors (if any), to unconditionally guarantee the Company’s Obligations under the Notes and the Indenture on the terms and subject to the conditions set forth in Article XIII of the Indenture and to be bound by all other applicable provisions of the Indenture and the Notes and to perform all of the obligations and agreements of a guarantor under the Indenture. From and after the date hereof, all</w:t>
      </w:r>
    </w:p>
    <w:p>
      <w:pPr>
        <w:sectPr>
          <w:pgSz w:w="11900" w:h="16838" w:orient="portrait"/>
          <w:cols w:equalWidth="0" w:num="1">
            <w:col w:w="11240"/>
          </w:cols>
          <w:pgMar w:left="320" w:top="100"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references in the Indenture to the “Guarantors” and “Subsidiary Guarantors” shall include the New Guarantors.</w:t>
      </w:r>
    </w:p>
    <w:p>
      <w:pPr>
        <w:spacing w:after="0" w:line="189" w:lineRule="exact"/>
        <w:rPr>
          <w:sz w:val="20"/>
          <w:szCs w:val="20"/>
          <w:color w:val="auto"/>
        </w:rPr>
      </w:pPr>
    </w:p>
    <w:p>
      <w:pPr>
        <w:ind w:firstLine="656"/>
        <w:spacing w:after="0" w:line="250"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to each New Guarantor shall be given at the following address: Caesars Entertainment, Inc., 100 West Liberty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Reno, Nevada 89501, Facsimile: (775) 337-9218 Attn: Chief Financial Officer.</w:t>
      </w:r>
    </w:p>
    <w:p>
      <w:pPr>
        <w:spacing w:after="0" w:line="68"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and Delivery</w:t>
      </w:r>
      <w:r>
        <w:rPr>
          <w:rFonts w:ascii="Times New Roman" w:cs="Times New Roman" w:eastAsia="Times New Roman" w:hAnsi="Times New Roman"/>
          <w:sz w:val="20"/>
          <w:szCs w:val="20"/>
          <w:color w:val="auto"/>
        </w:rPr>
        <w:t>. Each New Guarantor agrees that its Note Guarantee shall remain in full force and effect notwithstanding the absence of the endorsement of any notation of such Note Guarantee.</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SUPPLEMENTAL INDENTURE SHALL BE GOVERNED BY, AND CONSTRUED IN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ACCORDANCE WITH, THE LAWS OF THE STATE OF NEW YORK.</w:t>
      </w:r>
    </w:p>
    <w:p>
      <w:pPr>
        <w:spacing w:after="0" w:line="153"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60" w:lineRule="exact"/>
        <w:rPr>
          <w:rFonts w:ascii="Times New Roman" w:cs="Times New Roman" w:eastAsia="Times New Roman" w:hAnsi="Times New Roman"/>
          <w:sz w:val="20"/>
          <w:szCs w:val="20"/>
          <w:color w:val="auto"/>
        </w:rPr>
      </w:pPr>
    </w:p>
    <w:p>
      <w:pPr>
        <w:ind w:right="20" w:firstLine="656"/>
        <w:spacing w:after="0" w:line="233"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Makes No Representation</w:t>
      </w:r>
      <w:r>
        <w:rPr>
          <w:rFonts w:ascii="Times New Roman" w:cs="Times New Roman" w:eastAsia="Times New Roman" w:hAnsi="Times New Roman"/>
          <w:sz w:val="20"/>
          <w:szCs w:val="20"/>
          <w:color w:val="auto"/>
        </w:rPr>
        <w:t>. The Trustee and the Collateral Agent make no representation as to the validity or sufficiency of this Supplemental Indenture.</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parties may sign any number of copies of this Supplemental Indenture. Each signed copy shall be an original, but all of them together represent the same agreement.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 thereof.</w:t>
      </w:r>
    </w:p>
    <w:p>
      <w:pPr>
        <w:sectPr>
          <w:pgSz w:w="11900" w:h="16838" w:orient="portrait"/>
          <w:cols w:equalWidth="0" w:num="1">
            <w:col w:w="11240"/>
          </w:cols>
          <w:pgMar w:left="320" w:top="1399" w:right="339" w:bottom="1440" w:gutter="0" w:footer="0" w:header="0"/>
        </w:sectPr>
      </w:pPr>
    </w:p>
    <w:bookmarkStart w:id="165" w:name="page166"/>
    <w:bookmarkEnd w:id="165"/>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executed as of the date first 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CAESARS ENTERTAINMENT,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Company</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125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Second Supplemental Indenture – CEI 6.500% Senior Secured Notes due 2032</w:t>
      </w:r>
      <w:r>
        <w:rPr>
          <w:rFonts w:ascii="Times New Roman" w:cs="Times New Roman" w:eastAsia="Times New Roman" w:hAnsi="Times New Roman"/>
          <w:sz w:val="20"/>
          <w:szCs w:val="20"/>
          <w:color w:val="auto"/>
        </w:rPr>
        <w:t>]</w:t>
      </w:r>
    </w:p>
    <w:p>
      <w:pPr>
        <w:sectPr>
          <w:pgSz w:w="11900" w:h="16838" w:orient="portrait"/>
          <w:cols w:equalWidth="0" w:num="1">
            <w:col w:w="11100"/>
          </w:cols>
          <w:pgMar w:left="320" w:top="1440" w:right="479" w:bottom="1440" w:gutter="0" w:footer="0" w:header="0"/>
        </w:sectPr>
      </w:pPr>
    </w:p>
    <w:bookmarkStart w:id="166" w:name="page167"/>
    <w:bookmarkEnd w:id="166"/>
    <w:p>
      <w:pPr>
        <w:ind w:left="2120"/>
        <w:spacing w:after="0"/>
        <w:rPr>
          <w:sz w:val="20"/>
          <w:szCs w:val="20"/>
          <w:color w:val="auto"/>
        </w:rPr>
      </w:pPr>
      <w:r>
        <w:rPr>
          <w:rFonts w:ascii="Times New Roman" w:cs="Times New Roman" w:eastAsia="Times New Roman" w:hAnsi="Times New Roman"/>
          <w:sz w:val="20"/>
          <w:szCs w:val="20"/>
          <w:color w:val="auto"/>
        </w:rPr>
        <w:t>AMERICAN WAGERING, INC.</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GAMING,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AWI MANUFACTURING,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AZTAR RIVERBOAT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BLACK HAWK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BRANDYWINE BOOKMAKING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BW SUB CO.</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CONVENTION CENTER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DUBAI,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PARTNERS,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HOLDINGS,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INTERNATIONAL HOSPITALITY,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PARLAY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CCR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CCSC/BLACKHAWK,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CIE GROWTH,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CIRCUS AND ELDORADO JOINT VENTURE,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COMPUTERIZED BOOKMAKING SYSTEMS,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CRS ANNEX,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DIGITAL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EASTSIDE CONVENTION CENTER,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 FIT,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LIMITED LIABILITY COMPANY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#1,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ELDORADO SHREVEPORT #2,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ELGIN HOLDINGS II LLC</w:t>
      </w:r>
    </w:p>
    <w:p>
      <w:pPr>
        <w:spacing w:after="0" w:line="6"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ELGIN RIVERBOAT RESORT–RIVERBOAT CASINO GB INVESTOR,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39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3">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67" w:name="page168"/>
    <w:bookmarkEnd w:id="167"/>
    <w:p>
      <w:pPr>
        <w:ind w:left="2120"/>
        <w:spacing w:after="0"/>
        <w:rPr>
          <w:sz w:val="20"/>
          <w:szCs w:val="20"/>
          <w:color w:val="auto"/>
        </w:rPr>
      </w:pPr>
      <w:r>
        <w:rPr>
          <w:rFonts w:ascii="Times New Roman" w:cs="Times New Roman" w:eastAsia="Times New Roman" w:hAnsi="Times New Roman"/>
          <w:sz w:val="20"/>
          <w:szCs w:val="20"/>
          <w:color w:val="auto"/>
        </w:rPr>
        <w:t>IC HOLDINGS COLORADO, INC.</w:t>
      </w:r>
    </w:p>
    <w:p>
      <w:pPr>
        <w:spacing w:after="0" w:line="28" w:lineRule="exact"/>
        <w:rPr>
          <w:sz w:val="20"/>
          <w:szCs w:val="20"/>
          <w:color w:val="auto"/>
        </w:rPr>
      </w:pPr>
    </w:p>
    <w:p>
      <w:pPr>
        <w:ind w:left="2120" w:right="2159"/>
        <w:spacing w:after="0" w:line="246" w:lineRule="auto"/>
        <w:rPr>
          <w:sz w:val="20"/>
          <w:szCs w:val="20"/>
          <w:color w:val="auto"/>
        </w:rPr>
      </w:pPr>
      <w:r>
        <w:rPr>
          <w:rFonts w:ascii="Times New Roman" w:cs="Times New Roman" w:eastAsia="Times New Roman" w:hAnsi="Times New Roman"/>
          <w:sz w:val="20"/>
          <w:szCs w:val="20"/>
          <w:color w:val="auto"/>
        </w:rPr>
        <w:t>IOC - BLACK HAWK DISTRIBUTION COMPANY, LLC IOC - BOONVILLE,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 LULA,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BLACK HAWK COUNTY,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 HOLDINGS,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IOC-VICKSBURG,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BETTENDORF, 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BLACK HAWK,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ISLE OF CAPRI CASINOS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LIGHTHOUSE POINT,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MTR GAMING GROUP,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JAZZ ENTERPRISES,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OLD PID,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POMPANO PARK HOLDINGS,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PPI,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ROMULUS RISK AND INSURANCE COMPANY,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SCIOTO DOWNS,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ST. CHARLES GAMING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(ES),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 LOUIS RE),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TEI (STLH),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ENTERTAINMENT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TROPICANA ST. LOUIS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VEGAS DEVELOPMENT LAND OWNER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WH NV III,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DFSB,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NEVADA II</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NEW JERSEY,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WILLIAM HILL U.S. HOLDCO,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8864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4">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Bret Yunker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68" w:name="page169"/>
    <w:bookmarkEnd w:id="168"/>
    <w:p>
      <w:pPr>
        <w:ind w:left="2120" w:right="1259"/>
        <w:spacing w:after="0" w:line="258" w:lineRule="auto"/>
        <w:rPr>
          <w:sz w:val="20"/>
          <w:szCs w:val="20"/>
          <w:color w:val="auto"/>
        </w:rPr>
      </w:pPr>
      <w:r>
        <w:rPr>
          <w:rFonts w:ascii="Times New Roman" w:cs="Times New Roman" w:eastAsia="Times New Roman" w:hAnsi="Times New Roman"/>
          <w:sz w:val="20"/>
          <w:szCs w:val="20"/>
          <w:color w:val="auto"/>
        </w:rPr>
        <w:t>CAESARS INTERACTIVE ENTERTAINMENT NEW JERSEY, LLC TROPICANA ATLANTIC CITY CORP.</w:t>
      </w:r>
    </w:p>
    <w:p>
      <w:pPr>
        <w:ind w:left="2120"/>
        <w:spacing w:after="0"/>
        <w:rPr>
          <w:sz w:val="20"/>
          <w:szCs w:val="20"/>
          <w:color w:val="auto"/>
        </w:rPr>
      </w:pPr>
      <w:r>
        <w:rPr>
          <w:rFonts w:ascii="Times New Roman" w:cs="Times New Roman" w:eastAsia="Times New Roman" w:hAnsi="Times New Roman"/>
          <w:sz w:val="20"/>
          <w:szCs w:val="20"/>
          <w:color w:val="auto"/>
        </w:rPr>
        <w:t>BALLY’S PARK PLACE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BOARDWALK REGENCY LLC</w:t>
      </w:r>
    </w:p>
    <w:p>
      <w:pPr>
        <w:spacing w:after="0" w:line="6" w:lineRule="exact"/>
        <w:rPr>
          <w:sz w:val="20"/>
          <w:szCs w:val="20"/>
          <w:color w:val="auto"/>
        </w:rPr>
      </w:pPr>
    </w:p>
    <w:p>
      <w:pPr>
        <w:ind w:left="2120" w:right="2159"/>
        <w:spacing w:after="0" w:line="250" w:lineRule="auto"/>
        <w:rPr>
          <w:sz w:val="20"/>
          <w:szCs w:val="20"/>
          <w:color w:val="auto"/>
        </w:rPr>
      </w:pPr>
      <w:r>
        <w:rPr>
          <w:rFonts w:ascii="Times New Roman" w:cs="Times New Roman" w:eastAsia="Times New Roman" w:hAnsi="Times New Roman"/>
          <w:sz w:val="20"/>
          <w:szCs w:val="20"/>
          <w:color w:val="auto"/>
        </w:rPr>
        <w:t>HARRAH’S ATLANTIC CITY OPERATING COMPANY, LLC</w:t>
      </w:r>
    </w:p>
    <w:p>
      <w:pPr>
        <w:ind w:left="2120"/>
        <w:spacing w:after="0"/>
        <w:rPr>
          <w:sz w:val="20"/>
          <w:szCs w:val="20"/>
          <w:color w:val="auto"/>
        </w:rPr>
      </w:pPr>
      <w:r>
        <w:rPr>
          <w:rFonts w:ascii="Times New Roman" w:cs="Times New Roman" w:eastAsia="Times New Roman" w:hAnsi="Times New Roman"/>
          <w:sz w:val="20"/>
          <w:szCs w:val="20"/>
          <w:color w:val="auto"/>
        </w:rPr>
        <w:t>as a Subsidiary Guarantor</w:t>
      </w:r>
    </w:p>
    <w:p>
      <w:pPr>
        <w:spacing w:after="0" w:line="200" w:lineRule="exact"/>
        <w:rPr>
          <w:sz w:val="20"/>
          <w:szCs w:val="20"/>
          <w:color w:val="auto"/>
        </w:rPr>
      </w:pPr>
    </w:p>
    <w:p>
      <w:pPr>
        <w:spacing w:after="0" w:line="27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5">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Edmund L. Quatmann, Jr.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69" w:name="page170"/>
    <w:bookmarkEnd w:id="169"/>
    <w:p>
      <w:pPr>
        <w:ind w:left="2120"/>
        <w:spacing w:after="0"/>
        <w:rPr>
          <w:sz w:val="20"/>
          <w:szCs w:val="20"/>
          <w:color w:val="auto"/>
        </w:rPr>
      </w:pPr>
      <w:r>
        <w:rPr>
          <w:rFonts w:ascii="Times New Roman" w:cs="Times New Roman" w:eastAsia="Times New Roman" w:hAnsi="Times New Roman"/>
          <w:sz w:val="20"/>
          <w:szCs w:val="20"/>
          <w:color w:val="auto"/>
        </w:rPr>
        <w:t>3535 LV CORP.</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3535 LV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AC CONFERENCE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BENCO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BL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BV MANAGER,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BALLY’S 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CROMWELL, LLC</w:t>
      </w:r>
    </w:p>
    <w:p>
      <w:pPr>
        <w:spacing w:after="0" w:line="6" w:lineRule="exact"/>
        <w:rPr>
          <w:sz w:val="20"/>
          <w:szCs w:val="20"/>
          <w:color w:val="auto"/>
        </w:rPr>
      </w:pPr>
    </w:p>
    <w:p>
      <w:pPr>
        <w:ind w:left="2120" w:right="2079"/>
        <w:spacing w:after="0" w:line="246" w:lineRule="auto"/>
        <w:rPr>
          <w:sz w:val="20"/>
          <w:szCs w:val="20"/>
          <w:color w:val="auto"/>
        </w:rPr>
      </w:pPr>
      <w:r>
        <w:rPr>
          <w:rFonts w:ascii="Times New Roman" w:cs="Times New Roman" w:eastAsia="Times New Roman" w:hAnsi="Times New Roman"/>
          <w:sz w:val="20"/>
          <w:szCs w:val="20"/>
          <w:color w:val="auto"/>
        </w:rPr>
        <w:t>CAESARS GROWTH HARRAH’S NEW ORLEANS, LLC CAESARS GROWTH PH FEE,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PH,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GROWTH QUAD,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NEVADA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NEW JERSEY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OCTAVIUS,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PALACE REALTY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RESORT COLLECTION,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TREX,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CAESARS WORLD MARKETING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CALIFORNIA CLEARING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CASINO COMPUTER PROGRAMMING, INC.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ACQUISITION,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COLORADO,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CENTAUR HOLDINGS,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CEOC,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DOWNS AND MARINA,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CHESTER FACILITY HOLDING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CORNER INVESTMENT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CRC FINCO,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DESERT PALACE LLC</w:t>
      </w:r>
    </w:p>
    <w:p>
      <w:pPr>
        <w:spacing w:after="0" w:line="6" w:lineRule="exact"/>
        <w:rPr>
          <w:sz w:val="20"/>
          <w:szCs w:val="20"/>
          <w:color w:val="auto"/>
        </w:rPr>
      </w:pPr>
    </w:p>
    <w:p>
      <w:pPr>
        <w:ind w:left="2120" w:right="2099"/>
        <w:spacing w:after="0" w:line="250" w:lineRule="auto"/>
        <w:rPr>
          <w:sz w:val="20"/>
          <w:szCs w:val="20"/>
          <w:color w:val="auto"/>
        </w:rPr>
      </w:pPr>
      <w:r>
        <w:rPr>
          <w:rFonts w:ascii="Times New Roman" w:cs="Times New Roman" w:eastAsia="Times New Roman" w:hAnsi="Times New Roman"/>
          <w:sz w:val="20"/>
          <w:szCs w:val="20"/>
          <w:color w:val="auto"/>
        </w:rPr>
        <w:t>FLAMINGO LAS VEGAS OPERATING COMPANY, LLC GRAND CASINOS OF BILOXI, LLC</w:t>
      </w:r>
    </w:p>
    <w:p>
      <w:pPr>
        <w:ind w:left="2120"/>
        <w:spacing w:after="0"/>
        <w:rPr>
          <w:sz w:val="20"/>
          <w:szCs w:val="20"/>
          <w:color w:val="auto"/>
        </w:rPr>
      </w:pPr>
      <w:r>
        <w:rPr>
          <w:rFonts w:ascii="Times New Roman" w:cs="Times New Roman" w:eastAsia="Times New Roman" w:hAnsi="Times New Roman"/>
          <w:sz w:val="20"/>
          <w:szCs w:val="20"/>
          <w:color w:val="auto"/>
        </w:rPr>
        <w:t>GRAND CASINOS, INC.,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70" w:name="page171"/>
    <w:bookmarkEnd w:id="170"/>
    <w:p>
      <w:pPr>
        <w:ind w:left="2120"/>
        <w:spacing w:after="0"/>
        <w:rPr>
          <w:sz w:val="20"/>
          <w:szCs w:val="20"/>
          <w:color w:val="auto"/>
        </w:rPr>
      </w:pPr>
      <w:r>
        <w:rPr>
          <w:rFonts w:ascii="Times New Roman" w:cs="Times New Roman" w:eastAsia="Times New Roman" w:hAnsi="Times New Roman"/>
          <w:sz w:val="20"/>
          <w:szCs w:val="20"/>
          <w:color w:val="auto"/>
        </w:rPr>
        <w:t>HARRAH SOUTH SHORE CORPORATION</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ARIZONA CORPORATION</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ATLANTIC CITY PROPCO, LLC</w:t>
      </w:r>
    </w:p>
    <w:p>
      <w:pPr>
        <w:spacing w:after="0" w:line="6" w:lineRule="exact"/>
        <w:rPr>
          <w:sz w:val="20"/>
          <w:szCs w:val="20"/>
          <w:color w:val="auto"/>
        </w:rPr>
      </w:pPr>
    </w:p>
    <w:p>
      <w:pPr>
        <w:ind w:left="2120" w:right="1239"/>
        <w:spacing w:after="0" w:line="248" w:lineRule="auto"/>
        <w:rPr>
          <w:sz w:val="20"/>
          <w:szCs w:val="20"/>
          <w:color w:val="auto"/>
        </w:rPr>
      </w:pPr>
      <w:r>
        <w:rPr>
          <w:rFonts w:ascii="Times New Roman" w:cs="Times New Roman" w:eastAsia="Times New Roman" w:hAnsi="Times New Roman"/>
          <w:sz w:val="20"/>
          <w:szCs w:val="20"/>
          <w:color w:val="auto"/>
        </w:rPr>
        <w:t>HARRAH’S CHESTER DOWNS INVESTMENT COMPANY, LLC HARRAH’S CHESTER DOWNS MANAGEMENT COMPANY, LLC HARRAH’S ILLINOIS LLC</w:t>
      </w:r>
    </w:p>
    <w:p>
      <w:pPr>
        <w:spacing w:after="0" w:line="3" w:lineRule="exact"/>
        <w:rPr>
          <w:sz w:val="20"/>
          <w:szCs w:val="20"/>
          <w:color w:val="auto"/>
        </w:rPr>
      </w:pPr>
    </w:p>
    <w:p>
      <w:pPr>
        <w:ind w:left="2120" w:right="2179"/>
        <w:spacing w:after="0" w:line="246" w:lineRule="auto"/>
        <w:rPr>
          <w:sz w:val="20"/>
          <w:szCs w:val="20"/>
          <w:color w:val="auto"/>
        </w:rPr>
      </w:pPr>
      <w:r>
        <w:rPr>
          <w:rFonts w:ascii="Times New Roman" w:cs="Times New Roman" w:eastAsia="Times New Roman" w:hAnsi="Times New Roman"/>
          <w:sz w:val="20"/>
          <w:szCs w:val="20"/>
          <w:color w:val="auto"/>
        </w:rPr>
        <w:t>HARRAH’S INTERACTIVE INVESTMENT COMPANY HARRAH’S IOWA ARENA MANAGEMENT, LLC HARRAH’S LAS VEGAS,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LAUGHLIN,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MANAGEMENT COMPANY</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NC CASINO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NEBRASKA, LLC</w:t>
      </w:r>
    </w:p>
    <w:p>
      <w:pPr>
        <w:spacing w:after="0" w:line="6" w:lineRule="exact"/>
        <w:rPr>
          <w:sz w:val="20"/>
          <w:szCs w:val="20"/>
          <w:color w:val="auto"/>
        </w:rPr>
      </w:pPr>
    </w:p>
    <w:p>
      <w:pPr>
        <w:ind w:left="2120" w:right="1499"/>
        <w:spacing w:after="0" w:line="246" w:lineRule="auto"/>
        <w:rPr>
          <w:sz w:val="20"/>
          <w:szCs w:val="20"/>
          <w:color w:val="auto"/>
        </w:rPr>
      </w:pPr>
      <w:r>
        <w:rPr>
          <w:rFonts w:ascii="Times New Roman" w:cs="Times New Roman" w:eastAsia="Times New Roman" w:hAnsi="Times New Roman"/>
          <w:sz w:val="20"/>
          <w:szCs w:val="20"/>
          <w:color w:val="auto"/>
        </w:rPr>
        <w:t>HARRAH’S NEW ORLEANS MANAGEMENT COMPANY LLC HARRAH’S NORTH KANSAS CITY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HARRAH’S OKLAHOMA, LLC</w:t>
      </w:r>
    </w:p>
    <w:p>
      <w:pPr>
        <w:spacing w:after="0" w:line="13" w:lineRule="exact"/>
        <w:rPr>
          <w:sz w:val="20"/>
          <w:szCs w:val="20"/>
          <w:color w:val="auto"/>
        </w:rPr>
      </w:pPr>
    </w:p>
    <w:p>
      <w:pPr>
        <w:ind w:left="2120" w:right="399"/>
        <w:spacing w:after="0" w:line="246" w:lineRule="auto"/>
        <w:rPr>
          <w:sz w:val="20"/>
          <w:szCs w:val="20"/>
          <w:color w:val="auto"/>
        </w:rPr>
      </w:pPr>
      <w:r>
        <w:rPr>
          <w:rFonts w:ascii="Times New Roman" w:cs="Times New Roman" w:eastAsia="Times New Roman" w:hAnsi="Times New Roman"/>
          <w:sz w:val="20"/>
          <w:szCs w:val="20"/>
          <w:color w:val="auto"/>
        </w:rPr>
        <w:t>HARRAH’S SHREVEPORT/BOSSIER CITY INVESTMENT COMPANY, LLC HARVEYS BR MANAGEMENT COMPANY,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HARVEYS IOWA MANAGEMENT COMPANY LLC</w:t>
      </w:r>
    </w:p>
    <w:p>
      <w:pPr>
        <w:spacing w:after="0" w:line="6" w:lineRule="exact"/>
        <w:rPr>
          <w:sz w:val="20"/>
          <w:szCs w:val="20"/>
          <w:color w:val="auto"/>
        </w:rPr>
      </w:pPr>
    </w:p>
    <w:p>
      <w:pPr>
        <w:ind w:left="2120" w:right="2339"/>
        <w:spacing w:after="0" w:line="246" w:lineRule="auto"/>
        <w:rPr>
          <w:sz w:val="20"/>
          <w:szCs w:val="20"/>
          <w:color w:val="auto"/>
        </w:rPr>
      </w:pPr>
      <w:r>
        <w:rPr>
          <w:rFonts w:ascii="Times New Roman" w:cs="Times New Roman" w:eastAsia="Times New Roman" w:hAnsi="Times New Roman"/>
          <w:sz w:val="20"/>
          <w:szCs w:val="20"/>
          <w:color w:val="auto"/>
        </w:rPr>
        <w:t>HARVEYS TAHOE MANAGEMENT COMPANY LLC HBR REALTY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HCAL,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HOLE IN THE WALL,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HOOSIER PARK,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ENTERTAINMENT</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GAMING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GP,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HORSESHOE HAMMOND,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HP DINING &amp; ENTERTAINMENT,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HTM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Edmund L. Quatmann, Jr.__________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71" w:name="page172"/>
    <w:bookmarkEnd w:id="171"/>
    <w:p>
      <w:pPr>
        <w:ind w:left="2120"/>
        <w:spacing w:after="0"/>
        <w:rPr>
          <w:sz w:val="20"/>
          <w:szCs w:val="20"/>
          <w:color w:val="auto"/>
        </w:rPr>
      </w:pPr>
      <w:r>
        <w:rPr>
          <w:rFonts w:ascii="Times New Roman" w:cs="Times New Roman" w:eastAsia="Times New Roman" w:hAnsi="Times New Roman"/>
          <w:sz w:val="20"/>
          <w:szCs w:val="20"/>
          <w:color w:val="auto"/>
        </w:rPr>
        <w:t>JAZZ CASINO COMPANY, L.L.C.</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FULTON DEVELOPMENT,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JCC HOLDING COMPANY II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LAUNDRY NEWCO,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LINQCUP,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NEW CENTAUR, LLC</w:t>
      </w:r>
    </w:p>
    <w:p>
      <w:pPr>
        <w:spacing w:after="0" w:line="13" w:lineRule="exact"/>
        <w:rPr>
          <w:sz w:val="20"/>
          <w:szCs w:val="20"/>
          <w:color w:val="auto"/>
        </w:rPr>
      </w:pPr>
    </w:p>
    <w:p>
      <w:pPr>
        <w:ind w:left="2120" w:right="59"/>
        <w:spacing w:after="0" w:line="246" w:lineRule="auto"/>
        <w:rPr>
          <w:sz w:val="20"/>
          <w:szCs w:val="20"/>
          <w:color w:val="auto"/>
        </w:rPr>
      </w:pPr>
      <w:r>
        <w:rPr>
          <w:rFonts w:ascii="Times New Roman" w:cs="Times New Roman" w:eastAsia="Times New Roman" w:hAnsi="Times New Roman"/>
          <w:sz w:val="20"/>
          <w:szCs w:val="20"/>
          <w:color w:val="auto"/>
        </w:rPr>
        <w:t>NEW GAMING CAPITAL PARTNERSHIP, A NEVADA LIMITED PARTNERSHIP NEW ROBINSON PROPERTY GROUP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OS HOLDCO,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PARBALL NEWCO,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PARIS LAS VEGAS OPERATING COMPANY,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 MANAGER,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PHWCUP,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PHWLV,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PIER AT CAESARS LLC</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HOLDING,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PLAYERS INTERNATIONAL,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RIO PROPERTIES, LLC</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ROBINSON PROPERTY GROUP LLC</w:t>
      </w:r>
    </w:p>
    <w:p>
      <w:pPr>
        <w:spacing w:after="0" w:line="6" w:lineRule="exact"/>
        <w:rPr>
          <w:sz w:val="20"/>
          <w:szCs w:val="20"/>
          <w:color w:val="auto"/>
        </w:rPr>
      </w:pPr>
    </w:p>
    <w:p>
      <w:pPr>
        <w:ind w:left="2120" w:right="1639"/>
        <w:spacing w:after="0" w:line="248" w:lineRule="auto"/>
        <w:rPr>
          <w:sz w:val="20"/>
          <w:szCs w:val="20"/>
          <w:color w:val="auto"/>
        </w:rPr>
      </w:pPr>
      <w:r>
        <w:rPr>
          <w:rFonts w:ascii="Times New Roman" w:cs="Times New Roman" w:eastAsia="Times New Roman" w:hAnsi="Times New Roman"/>
          <w:sz w:val="20"/>
          <w:szCs w:val="20"/>
          <w:color w:val="auto"/>
        </w:rPr>
        <w:t>ROMAN HOLDING COMPANY OF INDIANA LLC SHOWBOAT ATLANTIC CITY OPERATING COMPANY, LLC SOUTHERN ILLINOIS RIVERBOAT/CASINO CRUISES LLC TUNICA ROADHOUSE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Edmund L. Quatmann, Jr._____________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5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IPB SERVICES, LLC,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New Guarantor</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CEOC, LLC, its sole member</w:t>
      </w:r>
    </w:p>
    <w:p>
      <w:pPr>
        <w:spacing w:after="0" w:line="3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5741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Edmund L. Quatmann, Jr.</w:t>
      </w:r>
    </w:p>
    <w:p>
      <w:pPr>
        <w:spacing w:after="0" w:line="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72" w:name="page173"/>
    <w:bookmarkEnd w:id="172"/>
    <w:p>
      <w:pPr>
        <w:ind w:left="2120" w:right="1759"/>
        <w:spacing w:after="0" w:line="283"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1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-10795</wp:posOffset>
            </wp:positionV>
            <wp:extent cx="12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Collateral Agent</w:t>
      </w:r>
    </w:p>
    <w:p>
      <w:pPr>
        <w:spacing w:after="0" w:line="200" w:lineRule="exact"/>
        <w:rPr>
          <w:sz w:val="20"/>
          <w:szCs w:val="20"/>
          <w:color w:val="auto"/>
        </w:rPr>
      </w:pPr>
    </w:p>
    <w:p>
      <w:pPr>
        <w:spacing w:after="0" w:line="27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-10795</wp:posOffset>
            </wp:positionV>
            <wp:extent cx="1257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2120"/>
        <w:spacing w:after="0"/>
        <w:tabs>
          <w:tab w:leader="none" w:pos="2880" w:val="left"/>
        </w:tabs>
        <w:rPr>
          <w:sz w:val="20"/>
          <w:szCs w:val="20"/>
          <w:color w:val="auto"/>
        </w:rPr>
      </w:pPr>
      <w:r>
        <w:rPr>
          <w:rFonts w:ascii="Times New Roman" w:cs="Times New Roman" w:eastAsia="Times New Roman" w:hAnsi="Times New Roman"/>
          <w:sz w:val="20"/>
          <w:szCs w:val="20"/>
          <w:color w:val="auto"/>
        </w:rPr>
        <w:t>Name:</w:t>
        <w:tab/>
        <w:t>Laurel Casasanta</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Second Supplemental Indenture – CEI 6.500% Senior Secured Notes due 2032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New Guarantors</w:t>
      </w:r>
    </w:p>
    <w:p>
      <w:pPr>
        <w:sectPr>
          <w:pgSz w:w="11900" w:h="16838" w:orient="portrait"/>
          <w:cols w:equalWidth="0" w:num="1">
            <w:col w:w="9019"/>
          </w:cols>
          <w:pgMar w:left="1440" w:top="1413" w:right="1440"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shd w:val="clear" w:color="auto" w:fill="D9D9D9"/>
          </w:tcPr>
          <w:p>
            <w:pPr>
              <w:ind w:left="278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Jurisdiction of Organization</w:t>
            </w:r>
          </w:p>
        </w:tc>
      </w:tr>
      <w:tr>
        <w:trPr>
          <w:trHeight w:val="62"/>
        </w:trPr>
        <w:tc>
          <w:tcPr>
            <w:tcW w:w="65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140" w:type="dxa"/>
            <w:vAlign w:val="bottom"/>
            <w:tcBorders>
              <w:bottom w:val="single" w:sz="8" w:color="auto"/>
              <w:right w:val="single" w:sz="8" w:color="auto"/>
            </w:tcBorders>
            <w:shd w:val="clear" w:color="auto" w:fill="D9D9D9"/>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Corp.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3535 LV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 Conference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Bally’s Park Place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Benco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BL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Boardwalk Regency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BV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Bally’s 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Cromwell,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Harrah’s New Orleans,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Fee,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PH,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Growth Quad,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Nevada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New Jersey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OCTAVIUS,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Palace Realty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Resort Collection,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TREX,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Caesars World Marketing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CALIFORNIA CLEARING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Casino Computer Programming,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ACQUISITION,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Colorado,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Centaur Holdings,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CEOC,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Downs and Marina,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Pennsylvania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Chester Facility Holding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Corner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CRC Finco,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Desert Palace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Flamingo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of Biloxi,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Grand Casinos,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Minnesota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 SOUTH SHORE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ARIZONA CORPORATION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7" w:right="1439" w:bottom="595" w:gutter="0" w:footer="0" w:header="0"/>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Atlantic City Propco,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Chester Downs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Illinois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INTERACTIVE INVESTMENT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Iowa Arena Management,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Las Vegas,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Laughlin,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Management Company</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NC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North Carolina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Nebraska,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New Orleans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North Kansas City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Missouri</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Oklahoma,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Harrah’s Shreveport/Bossier City Investment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BR MANAGEMENT COMPANY, INC.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Iowa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Harveys Tahoe Management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HBR Realty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Hole in the Wall,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Hoosier Park,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ENTERTAINMENT</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Gaming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GP,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Horseshoe Hammond,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35"/>
        </w:trPr>
        <w:tc>
          <w:tcPr>
            <w:tcW w:w="6560" w:type="dxa"/>
            <w:vAlign w:val="bottom"/>
            <w:tcBorders>
              <w:left w:val="single" w:sz="8" w:color="auto"/>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HP Dining &amp; Entertainment,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HTM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IPB Services,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Jazz Casino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Fulton Development,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Louisiana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JCC Holding Company II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Laundry NewCo,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LINQCUP,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Centaur,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Gaming Capital Partnership, a Nevada Limited Partnership</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OS Holdco,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9700"/>
          </w:cols>
          <w:pgMar w:left="760" w:top="1440" w:right="1439" w:bottom="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9019"/>
          </w:cols>
          <w:pgMar w:left="1440" w:top="873" w:right="1440" w:bottom="1440" w:gutter="0" w:footer="0" w:header="0"/>
        </w:sectPr>
      </w:pPr>
    </w:p>
    <w:bookmarkStart w:id="178" w:name="page179"/>
    <w:bookmarkEnd w:id="17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5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Parball NewCo, LLC</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Paris Las Vegas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 Manager,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PHWCUP,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PHWLV,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Pier at Caesars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Holding,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Players International,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Rio Properties,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Robinson Property Group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Mississippi</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Roman Holding Company of Indiana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Indiana</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Showboat Atlantic City Operating Company,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New Jersey</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7"/>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Southern Illinois Riverboat/Casino Cruises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Illinois</w:t>
            </w:r>
          </w:p>
        </w:tc>
      </w:tr>
      <w:tr>
        <w:trPr>
          <w:trHeight w:val="62"/>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96"/>
        </w:trPr>
        <w:tc>
          <w:tcPr>
            <w:tcW w:w="65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Tunica Roadhouse LLC</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61"/>
        </w:trPr>
        <w:tc>
          <w:tcPr>
            <w:tcW w:w="6560" w:type="dxa"/>
            <w:vAlign w:val="bottom"/>
            <w:tcBorders>
              <w:left w:val="single" w:sz="8" w:color="auto"/>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9700"/>
          </w:cols>
          <w:pgMar w:left="760" w:top="1440" w:right="14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0"/>
          <w:szCs w:val="20"/>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DIRECTOR DEFERRED RESTRICTED STOCK UNIT AWARD AGREEMENT</w:t>
      </w:r>
    </w:p>
    <w:p>
      <w:pPr>
        <w:spacing w:after="0" w:line="2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ELDORADO RESORTS,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Equity Incentive Plan</w:t>
      </w:r>
    </w:p>
    <w:p>
      <w:pPr>
        <w:spacing w:after="0" w:line="20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This DIRECTOR DEFERRED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the [ _____ ] between Caesars Entertainment, Inc., a Nevada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 _____ ] (the</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is made pursuant to the terms of the Company’s 2015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herein but not defined shall have the meanings set forth in the Plan.</w:t>
      </w:r>
    </w:p>
    <w:p>
      <w:pPr>
        <w:spacing w:after="0" w:line="142"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22"/>
          <w:szCs w:val="22"/>
          <w:u w:val="single" w:color="auto"/>
          <w:color w:val="auto"/>
        </w:rPr>
        <w:t>Section 1.</w:t>
      </w:r>
      <w:r>
        <w:rPr>
          <w:sz w:val="20"/>
          <w:szCs w:val="20"/>
          <w:color w:val="auto"/>
        </w:rPr>
        <w:tab/>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The Company hereby issues to the Participant, as of the Date of Grant, [</w:t>
      </w:r>
    </w:p>
    <w:p>
      <w:pPr>
        <w:spacing w:after="0" w:line="204" w:lineRule="auto"/>
        <w:rPr>
          <w:sz w:val="20"/>
          <w:szCs w:val="20"/>
          <w:color w:val="auto"/>
        </w:rPr>
      </w:pPr>
      <w:r>
        <w:rPr>
          <w:rFonts w:ascii="Times New Roman" w:cs="Times New Roman" w:eastAsia="Times New Roman" w:hAnsi="Times New Roman"/>
          <w:sz w:val="22"/>
          <w:szCs w:val="22"/>
          <w:color w:val="auto"/>
        </w:rPr>
        <w:t>_____ ]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subject to such vesting, transfer and other restrictions and conditions as set forth in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this Agreement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Each RSU represents the right to receive one Share, or the value equal to the Fair Market Value of one Share, as applicable, subject to the terms and conditions set forth in this Agreement and the Plan. For purposes of this Agreement,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shall be [ _____ ].</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2.</w:t>
      </w:r>
      <w:r>
        <w:rPr>
          <w:sz w:val="20"/>
          <w:szCs w:val="20"/>
          <w:color w:val="auto"/>
        </w:rPr>
        <w:tab/>
      </w:r>
      <w:r>
        <w:rPr>
          <w:rFonts w:ascii="Times New Roman" w:cs="Times New Roman" w:eastAsia="Times New Roman" w:hAnsi="Times New Roman"/>
          <w:sz w:val="21"/>
          <w:szCs w:val="21"/>
          <w:u w:val="single" w:color="auto"/>
          <w:color w:val="auto"/>
        </w:rPr>
        <w:t>Vesting Requirements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RSUs shall be fully vested as of the Grant Date</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for Cause</w:t>
      </w:r>
      <w:r>
        <w:rPr>
          <w:rFonts w:ascii="Times New Roman" w:cs="Times New Roman" w:eastAsia="Times New Roman" w:hAnsi="Times New Roman"/>
          <w:sz w:val="22"/>
          <w:szCs w:val="22"/>
          <w:color w:val="auto"/>
        </w:rPr>
        <w:t>. Upon the occurrence of a termination of the Participant’s service with the Company and its Affiliates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for Cause, all RSUs, whether vested or unvested, shall immediately be forfeited and cancelled, and the Participant shall not be entitled to any compensation or other amount with respect thereto.</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u w:val="single" w:color="auto"/>
          <w:color w:val="auto"/>
        </w:rPr>
        <w:t>Section 3. Settlement</w:t>
      </w:r>
      <w:r>
        <w:rPr>
          <w:rFonts w:ascii="Times New Roman" w:cs="Times New Roman" w:eastAsia="Times New Roman" w:hAnsi="Times New Roman"/>
          <w:sz w:val="22"/>
          <w:szCs w:val="22"/>
          <w:color w:val="auto"/>
        </w:rPr>
        <w:t>. As soon as reasonably practicable following the earliest to occur of: (i) the date of the Participant’s termination of Service for any reason other than for Cause that also constitutes a “separation from service” (within the meaning of Section 409A of the Code); or (ii) the occurrence of a Change in Control, as applicable (and in any event within 10 days following the earliest such applicable date), all vested RSUs shall be paid, unless otherwise determined by the Committee, by the Company delivering to the Participant a number of Shares equal to the number of vested RSUs.</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4. Restrictions on Transfer</w:t>
      </w:r>
      <w:r>
        <w:rPr>
          <w:rFonts w:ascii="Times New Roman" w:cs="Times New Roman" w:eastAsia="Times New Roman" w:hAnsi="Times New Roman"/>
          <w:sz w:val="22"/>
          <w:szCs w:val="22"/>
          <w:color w:val="auto"/>
        </w:rPr>
        <w:t xml:space="preserve">. No RSUs (nor any interest therein) may be sold, assigned, alienated, 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designation of a beneficiary shall not constitute a sale, assignment, alienation, pledge, attachment, transfer or encumbrance. Notwithstanding the foregoing, at the discretion of the Committee, RSUs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5. Investment Representation</w:t>
      </w:r>
      <w:r>
        <w:rPr>
          <w:rFonts w:ascii="Times New Roman" w:cs="Times New Roman" w:eastAsia="Times New Roman" w:hAnsi="Times New Roman"/>
          <w:sz w:val="22"/>
          <w:szCs w:val="22"/>
          <w:color w:val="auto"/>
        </w:rPr>
        <w:t>. The Participant is acquiring the RSUs for investment purposes only and not with a view to, or in connection with, the public distribution thereof in violation of the Securities Act of 1933, as amended (the “</w:t>
      </w:r>
      <w:r>
        <w:rPr>
          <w:rFonts w:ascii="Times New Roman" w:cs="Times New Roman" w:eastAsia="Times New Roman" w:hAnsi="Times New Roman"/>
          <w:sz w:val="22"/>
          <w:szCs w:val="22"/>
          <w:u w:val="single" w:color="auto"/>
          <w:color w:val="auto"/>
        </w:rPr>
        <w:t>Securities Ac</w:t>
      </w:r>
      <w:r>
        <w:rPr>
          <w:rFonts w:ascii="Times New Roman" w:cs="Times New Roman" w:eastAsia="Times New Roman" w:hAnsi="Times New Roman"/>
          <w:sz w:val="22"/>
          <w:szCs w:val="22"/>
          <w:color w:val="auto"/>
        </w:rPr>
        <w:t>t”). No Shares shall be acquired unless and until the Company and/or the Participant shall have complied with all applicable federal or state registration, listing and/or qualification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#4835-5934-6737v2</w:t>
      </w:r>
    </w:p>
    <w:p>
      <w:pPr>
        <w:sectPr>
          <w:pgSz w:w="11900" w:h="16838" w:orient="portrait"/>
          <w:cols w:equalWidth="0" w:num="1">
            <w:col w:w="11240"/>
          </w:cols>
          <w:pgMar w:left="320" w:top="114" w:right="339" w:bottom="1440" w:gutter="0" w:footer="0" w:header="0"/>
        </w:sectPr>
      </w:pPr>
    </w:p>
    <w:bookmarkStart w:id="180" w:name="page181"/>
    <w:bookmarkEnd w:id="180"/>
    <w:p>
      <w:pPr>
        <w:jc w:val="both"/>
        <w:spacing w:after="0" w:line="211" w:lineRule="auto"/>
        <w:rPr>
          <w:sz w:val="20"/>
          <w:szCs w:val="20"/>
          <w:color w:val="auto"/>
        </w:rPr>
      </w:pPr>
      <w:r>
        <w:rPr>
          <w:rFonts w:ascii="Times New Roman" w:cs="Times New Roman" w:eastAsia="Times New Roman" w:hAnsi="Times New Roman"/>
          <w:sz w:val="22"/>
          <w:szCs w:val="22"/>
          <w:color w:val="auto"/>
        </w:rPr>
        <w:t>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 Adjustments</w:t>
      </w:r>
      <w:r>
        <w:rPr>
          <w:rFonts w:ascii="Times New Roman" w:cs="Times New Roman" w:eastAsia="Times New Roman" w:hAnsi="Times New Roman"/>
          <w:sz w:val="22"/>
          <w:szCs w:val="22"/>
          <w:color w:val="auto"/>
        </w:rPr>
        <w:t>. The Award granted hereunder shall be subject to the adjustment as provided in Section 4(b) of the Plan.</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7. No Right of Continued Service</w:t>
      </w:r>
      <w:r>
        <w:rPr>
          <w:rFonts w:ascii="Times New Roman" w:cs="Times New Roman" w:eastAsia="Times New Roman" w:hAnsi="Times New Roman"/>
          <w:sz w:val="22"/>
          <w:szCs w:val="22"/>
          <w:color w:val="auto"/>
        </w:rPr>
        <w:t>. Nothing in the Plan or this Agreement shall confer upon the Participant any right to continued Service.</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u w:val="single" w:color="auto"/>
          <w:color w:val="auto"/>
        </w:rPr>
        <w:t>Section 8. No Rights as a Stockholder; Dividends</w:t>
      </w:r>
      <w:r>
        <w:rPr>
          <w:rFonts w:ascii="Times New Roman" w:cs="Times New Roman" w:eastAsia="Times New Roman" w:hAnsi="Times New Roman"/>
          <w:sz w:val="22"/>
          <w:szCs w:val="22"/>
          <w:color w:val="auto"/>
        </w:rPr>
        <w:t>. The Participant shall not have any privileges of a stockholder of the Company with respect to any RSUs, including without limitation any right to vote any Shares underlying such RSUs or to receive dividends or other distributions in respect thereof, unless and until Shares underlying the RSUs are delivered to the Participant in accordance with Section 3 hereof. Notwithstanding the foregoing, any dividends payable with respect to the RSUs underlying the Award during the Period from the Grant Date through the date the applicable RSUs are settled in accordance with Section 3 hereof will accumulate in cash and be payable to the Participant on a deferred basis, but only to the extent that the Award vests in accordance with Section 2 hereof. In no event shall the Participant be entitled to any payments relating to dividends paid after the earlier to occur of the settlement or forfeiture of the applicable RSUs underlying the Award and, for the avoidance of doubt, all accumulated dividends shall be forfeited immediately upon the forfeiture or cancellation of the Award or applicable portion thereof.</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u w:val="single" w:color="auto"/>
          <w:color w:val="auto"/>
        </w:rPr>
        <w:t>Section 9. Clawback</w:t>
      </w:r>
      <w:r>
        <w:rPr>
          <w:rFonts w:ascii="Times New Roman" w:cs="Times New Roman" w:eastAsia="Times New Roman" w:hAnsi="Times New Roman"/>
          <w:sz w:val="22"/>
          <w:szCs w:val="22"/>
          <w:color w:val="auto"/>
        </w:rPr>
        <w:t>. The Award will be subject to recoupment in accordance with any existing clawback policy or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10. Amendment and Termination</w:t>
      </w:r>
      <w:r>
        <w:rPr>
          <w:rFonts w:ascii="Times New Roman" w:cs="Times New Roman" w:eastAsia="Times New Roman" w:hAnsi="Times New Roman"/>
          <w:sz w:val="21"/>
          <w:szCs w:val="21"/>
          <w:color w:val="auto"/>
        </w:rPr>
        <w:t xml:space="preserve">. Subject to the terms of the Plan, any amendment to this Agreement shall be in writing and signed by the parties hereto. Notwithstanding the immediately-preceding sentence, subject to the terms of the Plan, the Committee may waive any conditions or rights under, amend any terms of, or alter, suspend, discontinue, cancel or terminate, this Agreement and/or the Award;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the terms of the Plan, any such waiver, amendment, alteration, suspension, discontinuance, cancellation or termination that would materially impair the rights of the Participant or any holder or beneficiary of the Award shall not be effective without the written consent of the Participant, holder or beneficiary.</w:t>
      </w:r>
    </w:p>
    <w:p>
      <w:pPr>
        <w:spacing w:after="0" w:line="15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 Construction</w:t>
      </w:r>
      <w:r>
        <w:rPr>
          <w:rFonts w:ascii="Times New Roman" w:cs="Times New Roman" w:eastAsia="Times New Roman" w:hAnsi="Times New Roman"/>
          <w:sz w:val="22"/>
          <w:szCs w:val="22"/>
          <w:color w:val="auto"/>
        </w:rPr>
        <w:t>. The Award granted hereunder is granted by the Company pursuant to the Plan and is in all respects subject to the terms and conditions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#4835-5934-6737v2</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17" w:lineRule="auto"/>
        <w:rPr>
          <w:sz w:val="20"/>
          <w:szCs w:val="20"/>
          <w:color w:val="auto"/>
        </w:rPr>
      </w:pPr>
      <w:r>
        <w:rPr>
          <w:rFonts w:ascii="Times New Roman" w:cs="Times New Roman" w:eastAsia="Times New Roman" w:hAnsi="Times New Roman"/>
          <w:sz w:val="22"/>
          <w:szCs w:val="22"/>
          <w:color w:val="auto"/>
        </w:rPr>
        <w:t>Plan. The Participant hereby acknowledges that a copy of the Plan has been delivered to the Participant and accepts the Award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12. Governing Law</w:t>
      </w:r>
      <w:r>
        <w:rPr>
          <w:rFonts w:ascii="Times New Roman" w:cs="Times New Roman" w:eastAsia="Times New Roman" w:hAnsi="Times New Roman"/>
          <w:sz w:val="22"/>
          <w:szCs w:val="22"/>
          <w:color w:val="auto"/>
        </w:rPr>
        <w:t>. This Agreement shall be construed and enforced in accordance with the laws of the State of Nevada, without giving effect to the choice of law principles thereof.</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 Counterparts</w:t>
      </w:r>
      <w:r>
        <w:rPr>
          <w:rFonts w:ascii="Times New Roman" w:cs="Times New Roman" w:eastAsia="Times New Roman" w:hAnsi="Times New Roman"/>
          <w:sz w:val="22"/>
          <w:szCs w:val="22"/>
          <w:color w:val="auto"/>
        </w:rPr>
        <w:t>. This Agreement may be executed in counterparts, each of which shall be deemed to be an original but all of which together shall constitute one and the same instrument.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14. Binding Effect</w:t>
      </w:r>
      <w:r>
        <w:rPr>
          <w:rFonts w:ascii="Times New Roman" w:cs="Times New Roman" w:eastAsia="Times New Roman" w:hAnsi="Times New Roman"/>
          <w:sz w:val="22"/>
          <w:szCs w:val="22"/>
          <w:color w:val="auto"/>
        </w:rPr>
        <w:t>. This Agreement shall inure to the benefit of and be binding upon the parties hereto and their respective heirs, executors, administrators, successors and assigns.</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15. Entire Agreement</w:t>
      </w:r>
      <w:r>
        <w:rPr>
          <w:rFonts w:ascii="Times New Roman" w:cs="Times New Roman" w:eastAsia="Times New Roman" w:hAnsi="Times New Roman"/>
          <w:sz w:val="22"/>
          <w:szCs w:val="22"/>
          <w:color w:val="auto"/>
        </w:rPr>
        <w:t>. This Agreement and the Plan constitute the entire agreement between the parties with respect to the subject matter hereof and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#4835-5934-6737v2</w:t>
      </w:r>
    </w:p>
    <w:p>
      <w:pPr>
        <w:sectPr>
          <w:pgSz w:w="11900" w:h="16838" w:orient="portrait"/>
          <w:cols w:equalWidth="0" w:num="1">
            <w:col w:w="11240"/>
          </w:cols>
          <w:pgMar w:left="320" w:top="139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effective as of the date first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-13970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-13970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285115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456565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-13970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-13970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#4835-5934-6737v2</w:t>
      </w:r>
    </w:p>
    <w:p>
      <w:pPr>
        <w:sectPr>
          <w:pgSz w:w="11900" w:h="16838" w:orient="portrait"/>
          <w:cols w:equalWidth="0" w:num="1">
            <w:col w:w="11240"/>
          </w:cols>
          <w:pgMar w:left="320" w:top="1422"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b w:val="1"/>
          <w:bCs w:val="1"/>
          <w:color w:val="auto"/>
        </w:rPr>
        <w:t>Exhibit 10.45</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Time-Based Ratable 3-Year Vest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the [ ______ ]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 between Caesars Entertainment, Inc., a Delaware corporation (the “Company”), and [ ______ ] (the “Participant”),</w:t>
      </w:r>
    </w:p>
    <w:p>
      <w:pPr>
        <w:spacing w:after="0" w:line="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and is made pursuant to the terms of the Company’s Amended &amp; Restated 2015 Equity Incentive Plan (the “Plan”). Capitalized terms used herein but not defined shall have the meanings set forth in the Plan.</w:t>
      </w:r>
    </w:p>
    <w:p>
      <w:pPr>
        <w:spacing w:after="0" w:line="14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1.</w:t>
      </w:r>
      <w:r>
        <w:rPr>
          <w:sz w:val="20"/>
          <w:szCs w:val="20"/>
          <w:color w:val="auto"/>
        </w:rPr>
        <w:tab/>
      </w:r>
      <w:r>
        <w:rPr>
          <w:rFonts w:ascii="Times New Roman" w:cs="Times New Roman" w:eastAsia="Times New Roman" w:hAnsi="Times New Roman"/>
          <w:sz w:val="21"/>
          <w:szCs w:val="21"/>
          <w:color w:val="auto"/>
        </w:rPr>
        <w:t>Restricted Stock Units</w:t>
      </w:r>
    </w:p>
    <w:p>
      <w:pPr>
        <w:spacing w:after="0" w:line="206" w:lineRule="exact"/>
        <w:rPr>
          <w:sz w:val="20"/>
          <w:szCs w:val="20"/>
          <w:color w:val="auto"/>
        </w:rPr>
      </w:pPr>
    </w:p>
    <w:p>
      <w:pPr>
        <w:jc w:val="both"/>
        <w:ind w:firstLine="1304"/>
        <w:spacing w:after="0" w:line="256" w:lineRule="auto"/>
        <w:tabs>
          <w:tab w:leader="none" w:pos="14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issues to the Participant, as of the Grant Date, [ ______ ] restricted stock units (the “RSUs”), subject to such vesting, transfer and other restrictions and conditions as set forth in this Agreement (the “Award”). Each RSU represents the right to receive the Fair Market Value of one Share, subject to the terms and conditions set forth in this Agreement and the Plan.</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2.</w:t>
      </w:r>
      <w:r>
        <w:rPr>
          <w:sz w:val="20"/>
          <w:szCs w:val="20"/>
          <w:color w:val="auto"/>
        </w:rPr>
        <w:tab/>
      </w:r>
      <w:r>
        <w:rPr>
          <w:rFonts w:ascii="Times New Roman" w:cs="Times New Roman" w:eastAsia="Times New Roman" w:hAnsi="Times New Roman"/>
          <w:sz w:val="21"/>
          <w:szCs w:val="21"/>
          <w:u w:val="single" w:color="auto"/>
          <w:color w:val="auto"/>
        </w:rPr>
        <w:t>Vesting Requirements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36" w:lineRule="auto"/>
        <w:tabs>
          <w:tab w:leader="none" w:pos="194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xml:space="preserve">. Except as otherwise provided herein, the RSUs shall vest and become non-forfeitable in equal installments on the first three anniversaries of </w:t>
      </w:r>
      <w:r>
        <w:rPr>
          <w:rFonts w:ascii="Times New Roman" w:cs="Times New Roman" w:eastAsia="Times New Roman" w:hAnsi="Times New Roman"/>
          <w:sz w:val="21"/>
          <w:szCs w:val="21"/>
          <w:b w:val="1"/>
          <w:bCs w:val="1"/>
          <w:color w:val="auto"/>
        </w:rPr>
        <w:t>[ ______ ]</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subject to the Participant’s continuous service or employment with the Company and its Affiliates (“</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from the Grant Date through the applicable Vesting Date.</w:t>
      </w:r>
    </w:p>
    <w:p>
      <w:pPr>
        <w:spacing w:after="0" w:line="151"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If the Participant receives a Replacement Award in respect of the RSUs (the “</w:t>
      </w:r>
      <w:r>
        <w:rPr>
          <w:rFonts w:ascii="Times New Roman" w:cs="Times New Roman" w:eastAsia="Times New Roman" w:hAnsi="Times New Roman"/>
          <w:sz w:val="22"/>
          <w:szCs w:val="22"/>
          <w:u w:val="single" w:color="auto"/>
          <w:color w:val="auto"/>
        </w:rPr>
        <w:t>Replacement Units</w:t>
      </w:r>
      <w:r>
        <w:rPr>
          <w:rFonts w:ascii="Times New Roman" w:cs="Times New Roman" w:eastAsia="Times New Roman" w:hAnsi="Times New Roman"/>
          <w:sz w:val="22"/>
          <w:szCs w:val="22"/>
          <w:color w:val="auto"/>
        </w:rPr>
        <w:t xml:space="preserve">”) upon a Change in Control that occurs prior to the final Vesting Date, then the unvested RSUs will not vest upon such Change in Control and such Replacement Units shall continue to vest in accordance with the vesting schedule set forth in Section 2(a) above and continue to be subject to the terms of the Plan and this Agreement. If, however, upon a Change in Control the Participant does </w:t>
      </w:r>
      <w:r>
        <w:rPr>
          <w:rFonts w:ascii="Times New Roman" w:cs="Times New Roman" w:eastAsia="Times New Roman" w:hAnsi="Times New Roman"/>
          <w:sz w:val="22"/>
          <w:szCs w:val="22"/>
          <w:b w:val="1"/>
          <w:bCs w:val="1"/>
          <w:i w:val="1"/>
          <w:iCs w:val="1"/>
          <w:color w:val="auto"/>
        </w:rPr>
        <w:t>not</w:t>
      </w:r>
      <w:r>
        <w:rPr>
          <w:rFonts w:ascii="Times New Roman" w:cs="Times New Roman" w:eastAsia="Times New Roman" w:hAnsi="Times New Roman"/>
          <w:sz w:val="22"/>
          <w:szCs w:val="22"/>
          <w:color w:val="auto"/>
        </w:rPr>
        <w:t xml:space="preserve"> receive a Replacement Award in respect of the RSUs, then any RSUs that are unvested and held by the Participant as of immediately prior to the Change in Control shall vest as of immediately prior to the Change in Control (the “</w:t>
      </w:r>
      <w:r>
        <w:rPr>
          <w:rFonts w:ascii="Times New Roman" w:cs="Times New Roman" w:eastAsia="Times New Roman" w:hAnsi="Times New Roman"/>
          <w:sz w:val="22"/>
          <w:szCs w:val="22"/>
          <w:u w:val="single" w:color="auto"/>
          <w:color w:val="auto"/>
        </w:rPr>
        <w:t>CIC Vested Awards</w:t>
      </w:r>
      <w:r>
        <w:rPr>
          <w:rFonts w:ascii="Times New Roman" w:cs="Times New Roman" w:eastAsia="Times New Roman" w:hAnsi="Times New Roman"/>
          <w:sz w:val="22"/>
          <w:szCs w:val="22"/>
          <w:color w:val="auto"/>
        </w:rPr>
        <w:t>”), and will be treated in accordance with Section 12(b) of the Plan, subject to the Participant’s continuous Service through the Change in Control.</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due to Death or Disability</w:t>
      </w:r>
      <w:r>
        <w:rPr>
          <w:rFonts w:ascii="Times New Roman" w:cs="Times New Roman" w:eastAsia="Times New Roman" w:hAnsi="Times New Roman"/>
          <w:sz w:val="22"/>
          <w:szCs w:val="22"/>
          <w:color w:val="auto"/>
        </w:rPr>
        <w:t>. Notwithstanding Section 2(a) or Section 2(b) hereof, in the event of the Participant’s termination of Service due to the Participant’s death or Disability, then 100% of any then unvested RSUs held by the Participant as of immediately prior to the date of termination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immediately vest as of the Termination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without Cause or for Good Reason</w:t>
      </w:r>
      <w:r>
        <w:rPr>
          <w:rFonts w:ascii="Times New Roman" w:cs="Times New Roman" w:eastAsia="Times New Roman" w:hAnsi="Times New Roman"/>
          <w:sz w:val="22"/>
          <w:szCs w:val="22"/>
          <w:color w:val="auto"/>
        </w:rPr>
        <w:t>. Notwithstanding Sections 2(a)-(c) or (e) hereof, in the event of the Participant’s termination of Service by the Company and its Affiliates without Cause or by the Participant for Good Reason, other than during the 18-month period immediately following a Change in Control, then the Participant shall vest in a pro-rata portion of the Restricted Stock Units, determined by multiplying the number of Restricted Stock Units that would have otherwise vested on the next regularly-scheduled Vesting Date by a fraction, the numerator of which is the number of full months that the Participant provided continuous Service from the most recent Vesting Date through the Termination Date (or, if no Vesting Date has yet occurred, from ###FIRST_VEST_DATE### through the Termination Date), and the denominator of which is twelve (12). Any Restricted Stock Units that do not become vested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02012.00000</w:t>
      </w:r>
    </w:p>
    <w:p>
      <w:pPr>
        <w:sectPr>
          <w:pgSz w:w="11900" w:h="16838" w:orient="portrait"/>
          <w:cols w:equalWidth="0" w:num="1">
            <w:col w:w="11240"/>
          </w:cols>
          <w:pgMar w:left="320" w:top="122" w:right="339" w:bottom="1440" w:gutter="0" w:footer="0" w:header="0"/>
        </w:sectPr>
      </w:pPr>
    </w:p>
    <w:bookmarkStart w:id="184" w:name="page185"/>
    <w:bookmarkEnd w:id="184"/>
    <w:p>
      <w:pPr>
        <w:spacing w:after="0" w:line="236" w:lineRule="auto"/>
        <w:rPr>
          <w:sz w:val="20"/>
          <w:szCs w:val="20"/>
          <w:color w:val="auto"/>
        </w:rPr>
      </w:pPr>
      <w:r>
        <w:rPr>
          <w:rFonts w:ascii="Times New Roman" w:cs="Times New Roman" w:eastAsia="Times New Roman" w:hAnsi="Times New Roman"/>
          <w:sz w:val="22"/>
          <w:szCs w:val="22"/>
          <w:color w:val="auto"/>
        </w:rPr>
        <w:t>immediately preceding sentence shall immediately be forfeited and cancelled, and the Participant shall not be entitled to any compensation or other amount with respect thereto.</w:t>
      </w:r>
    </w:p>
    <w:p>
      <w:pPr>
        <w:spacing w:after="0" w:line="150" w:lineRule="exact"/>
        <w:rPr>
          <w:sz w:val="20"/>
          <w:szCs w:val="20"/>
          <w:color w:val="auto"/>
        </w:rPr>
      </w:pPr>
    </w:p>
    <w:p>
      <w:pPr>
        <w:jc w:val="both"/>
        <w:ind w:firstLine="1304"/>
        <w:spacing w:after="0" w:line="215" w:lineRule="auto"/>
        <w:tabs>
          <w:tab w:leader="none" w:pos="194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without Cause, for Good Reason, or due to Death or Disability during the 18-Month Period Following a Change in Control</w:t>
      </w:r>
      <w:r>
        <w:rPr>
          <w:rFonts w:ascii="Times New Roman" w:cs="Times New Roman" w:eastAsia="Times New Roman" w:hAnsi="Times New Roman"/>
          <w:sz w:val="22"/>
          <w:szCs w:val="22"/>
          <w:color w:val="auto"/>
        </w:rPr>
        <w:t>. Notwithstanding Sections 2(a)-(d) hereof, in the event of the Participant’s termination of Service by the Company and its Affiliates without Cause, by the Participant for Good Reason, or due to the Participant’s death or Disability, in each case, within the 18-month period immediately following a Change in Control, then 100% of any then unvested Replacement Units held by the Participant as of immediately prior to the Termination Date shall immediately vest as of the Termination Date.</w:t>
      </w:r>
    </w:p>
    <w:p>
      <w:pPr>
        <w:spacing w:after="0" w:line="179" w:lineRule="exact"/>
        <w:rPr>
          <w:rFonts w:ascii="Times New Roman" w:cs="Times New Roman" w:eastAsia="Times New Roman" w:hAnsi="Times New Roman"/>
          <w:sz w:val="22"/>
          <w:szCs w:val="22"/>
          <w:color w:val="auto"/>
        </w:rPr>
      </w:pPr>
    </w:p>
    <w:p>
      <w:pPr>
        <w:ind w:firstLine="8"/>
        <w:spacing w:after="0" w:line="282" w:lineRule="auto"/>
        <w:tabs>
          <w:tab w:leader="none" w:pos="652" w:val="left"/>
        </w:tabs>
        <w:numPr>
          <w:ilvl w:val="0"/>
          <w:numId w:val="63"/>
        </w:numPr>
        <w:rPr>
          <w:rFonts w:ascii="Calibri" w:cs="Calibri" w:eastAsia="Calibri" w:hAnsi="Calibri"/>
          <w:sz w:val="22"/>
          <w:szCs w:val="22"/>
          <w:b w:val="1"/>
          <w:bCs w:val="1"/>
          <w:color w:val="auto"/>
        </w:rPr>
      </w:pPr>
      <w:r>
        <w:rPr>
          <w:rFonts w:ascii="Times New Roman" w:cs="Times New Roman" w:eastAsia="Times New Roman" w:hAnsi="Times New Roman"/>
          <w:sz w:val="22"/>
          <w:szCs w:val="22"/>
          <w:color w:val="auto"/>
        </w:rPr>
        <w:t>For purposes of Sections 2(d) and (e), “Good Reason” shall have the meaning set forth in the Plan, except that the phrase “50 miles” as used in subsection (ii) of such definition shall be replaced by the phrase “100 miles”.</w:t>
      </w:r>
    </w:p>
    <w:p>
      <w:pPr>
        <w:spacing w:after="0" w:line="116" w:lineRule="exact"/>
        <w:rPr>
          <w:rFonts w:ascii="Calibri" w:cs="Calibri" w:eastAsia="Calibri" w:hAnsi="Calibri"/>
          <w:sz w:val="22"/>
          <w:szCs w:val="22"/>
          <w:b w:val="1"/>
          <w:bCs w:val="1"/>
          <w:color w:val="auto"/>
        </w:rPr>
      </w:pPr>
    </w:p>
    <w:p>
      <w:pPr>
        <w:jc w:val="both"/>
        <w:ind w:firstLine="1304"/>
        <w:spacing w:after="0" w:line="215" w:lineRule="auto"/>
        <w:tabs>
          <w:tab w:leader="none" w:pos="19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 of Service</w:t>
      </w:r>
      <w:r>
        <w:rPr>
          <w:rFonts w:ascii="Times New Roman" w:cs="Times New Roman" w:eastAsia="Times New Roman" w:hAnsi="Times New Roman"/>
          <w:sz w:val="22"/>
          <w:szCs w:val="22"/>
          <w:color w:val="auto"/>
        </w:rPr>
        <w:t>. Upon the occurrence of a termination of the Participant’s Service for any reason other than as provided for by Section 2(c)- (e) hereof, all outstanding and unvested RSUs shall immediately be forfeited and cancelled, and the Participant shall not be entitled to any compensation or other amount with respect thereto. Notwithstanding anything to the contrary herein, upon a termination of the Participant’s Service for Cause, all RSUs, whether vested or unvested, shall immediately be forfeited and cancelled, and the Participant shall not be entitled to any compensation or other amount with respect thereto.</w:t>
      </w:r>
    </w:p>
    <w:p>
      <w:pPr>
        <w:spacing w:after="0" w:line="152" w:lineRule="exact"/>
        <w:rPr>
          <w:sz w:val="20"/>
          <w:szCs w:val="20"/>
          <w:color w:val="auto"/>
        </w:rPr>
      </w:pPr>
    </w:p>
    <w:p>
      <w:pPr>
        <w:jc w:val="both"/>
        <w:ind w:firstLine="1296"/>
        <w:spacing w:after="0" w:line="205" w:lineRule="auto"/>
        <w:rPr>
          <w:sz w:val="20"/>
          <w:szCs w:val="20"/>
          <w:color w:val="auto"/>
        </w:rPr>
      </w:pPr>
      <w:r>
        <w:rPr>
          <w:rFonts w:ascii="Times New Roman" w:cs="Times New Roman" w:eastAsia="Times New Roman" w:hAnsi="Times New Roman"/>
          <w:sz w:val="22"/>
          <w:szCs w:val="22"/>
          <w:u w:val="single" w:color="auto"/>
          <w:color w:val="auto"/>
        </w:rPr>
        <w:t>Section 3. Settlement</w:t>
      </w:r>
      <w:r>
        <w:rPr>
          <w:rFonts w:ascii="Times New Roman" w:cs="Times New Roman" w:eastAsia="Times New Roman" w:hAnsi="Times New Roman"/>
          <w:sz w:val="22"/>
          <w:szCs w:val="22"/>
          <w:color w:val="auto"/>
        </w:rPr>
        <w:t>. As soon as reasonably practicable following the applicable Vesting Date, Termination Date, or the occurrence of a Change in Control where no Replacement Award has been provided, as applicable (and in any event within 10 days following the applicable Vesting Date, Termination Date, or the occurrence of such Change in Control, as applicable), any RSUs that become vested and non-forfeitable shall be paid, unless otherwise determined by the Committee, by the Company delivering to the Participant a number of Shares equal to the number of RSUs that vested and became non-forfeitable pursuant to Section 2 hereof. Notwithstanding the foregoing, if the Participant is subject to a trading blackout on the Vesting Date, Termination Date, or the occurrence of such Change in Control, as applicable, then the applicable RSUs may instead be settled and paid as soon as reasonably practicable (and in any event within 10 days) following the date on which the trading blackout is no longer applicable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following the calendar year in which the Vesting Date, Termination Date, or the occurrence of such Change in Control, as applicable, occurs).</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4. Restrictions on Transfer</w:t>
      </w:r>
      <w:r>
        <w:rPr>
          <w:rFonts w:ascii="Times New Roman" w:cs="Times New Roman" w:eastAsia="Times New Roman" w:hAnsi="Times New Roman"/>
          <w:sz w:val="22"/>
          <w:szCs w:val="22"/>
          <w:color w:val="auto"/>
        </w:rPr>
        <w:t xml:space="preserve">. No RSUs (nor any interest therein) may be sold, assigned, alienated, 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designation of a beneficiary shall not constitute a sale, assignment, alienation, pledge, attachment, transfer or encumbrance. Notwithstanding the foregoing, at the discretion of the Committee, RSUs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5. Investment Representation</w:t>
      </w:r>
      <w:r>
        <w:rPr>
          <w:rFonts w:ascii="Times New Roman" w:cs="Times New Roman" w:eastAsia="Times New Roman" w:hAnsi="Times New Roman"/>
          <w:sz w:val="22"/>
          <w:szCs w:val="22"/>
          <w:color w:val="auto"/>
        </w:rPr>
        <w:t>. The Participant is acquiring the RSUs for investment purposes only and not with a view to, or in connection with, the public distribution thereof in violation of the Securities Act of 1933, as amended (the “</w:t>
      </w:r>
      <w:r>
        <w:rPr>
          <w:rFonts w:ascii="Times New Roman" w:cs="Times New Roman" w:eastAsia="Times New Roman" w:hAnsi="Times New Roman"/>
          <w:sz w:val="22"/>
          <w:szCs w:val="22"/>
          <w:u w:val="single" w:color="auto"/>
          <w:color w:val="auto"/>
        </w:rPr>
        <w:t>Securities Ac</w:t>
      </w:r>
      <w:r>
        <w:rPr>
          <w:rFonts w:ascii="Times New Roman" w:cs="Times New Roman" w:eastAsia="Times New Roman" w:hAnsi="Times New Roman"/>
          <w:sz w:val="22"/>
          <w:szCs w:val="22"/>
          <w:color w:val="auto"/>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85" w:name="page186"/>
    <w:bookmarkEnd w:id="185"/>
    <w:p>
      <w:pPr>
        <w:jc w:val="both"/>
        <w:spacing w:after="0" w:line="211" w:lineRule="auto"/>
        <w:rPr>
          <w:sz w:val="20"/>
          <w:szCs w:val="20"/>
          <w:color w:val="auto"/>
        </w:rPr>
      </w:pPr>
      <w:r>
        <w:rPr>
          <w:rFonts w:ascii="Times New Roman" w:cs="Times New Roman" w:eastAsia="Times New Roman" w:hAnsi="Times New Roman"/>
          <w:sz w:val="22"/>
          <w:szCs w:val="22"/>
          <w:color w:val="auto"/>
        </w:rPr>
        <w:t>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hereunder unless such delivery or distribution would comply with all applicable laws (including, without limitation, the Securities Act), and the applicable requirements of any securities exchange or similar entity.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 Adjustments</w:t>
      </w:r>
      <w:r>
        <w:rPr>
          <w:rFonts w:ascii="Times New Roman" w:cs="Times New Roman" w:eastAsia="Times New Roman" w:hAnsi="Times New Roman"/>
          <w:sz w:val="22"/>
          <w:szCs w:val="22"/>
          <w:color w:val="auto"/>
        </w:rPr>
        <w:t>. The Award granted hereunder shall be subject to adjustment as provided in Section 4(b) of the Plan.</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7. No Right of Continued Service</w:t>
      </w:r>
      <w:r>
        <w:rPr>
          <w:rFonts w:ascii="Times New Roman" w:cs="Times New Roman" w:eastAsia="Times New Roman" w:hAnsi="Times New Roman"/>
          <w:sz w:val="22"/>
          <w:szCs w:val="22"/>
          <w:color w:val="auto"/>
        </w:rPr>
        <w:t>. Nothing in the Plan or this Agreement shall confer upon the Participant any right to continued Service with the Company or any Affiliate.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8. Tax Withholding</w:t>
      </w:r>
      <w:r>
        <w:rPr>
          <w:rFonts w:ascii="Times New Roman" w:cs="Times New Roman" w:eastAsia="Times New Roman" w:hAnsi="Times New Roman"/>
          <w:sz w:val="22"/>
          <w:szCs w:val="22"/>
          <w:color w:val="auto"/>
        </w:rPr>
        <w:t>. The Award shall be subject to tax and/or other withholding in accordance with Section 15(e) of the Plan.</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u w:val="single" w:color="auto"/>
          <w:color w:val="auto"/>
        </w:rPr>
        <w:t>Section 9. No Rights as a Stockholder; Dividends</w:t>
      </w:r>
      <w:r>
        <w:rPr>
          <w:rFonts w:ascii="Times New Roman" w:cs="Times New Roman" w:eastAsia="Times New Roman" w:hAnsi="Times New Roman"/>
          <w:sz w:val="22"/>
          <w:szCs w:val="22"/>
          <w:color w:val="auto"/>
        </w:rPr>
        <w:t>. The Participant shall not have any privileges of a stockholder of the Company with respect to any RSUs, including without limitation any right to vote any Shares underlying such RSUs or to receive dividends or other distributions in respect thereof, unless and until Shares underlying the RSUs are delivered to the Participant in accordance with Section 3 hereof. Notwithstanding the foregoing, any dividends payable with respect to the RSUs underlying the Award during the period from the Grant Date through the date the applicable RSUs are settled in accordance with Section 3 hereof will accumulate in cash and be payable to the Participant on a deferred basis, but only to the extent that the Award vests in accordance with Section 2 hereof. In no event shall the Participant be entitled to any payments relating to dividends paid after the earlier to occur of the settlement or forfeiture of the applicable RSUs underlying the Award and, for the avoidance of doubt, all accumulated dividends shall be forfeited immediately upon the forfeiture or cancellation of the Award or applicable portion thereof.</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u w:val="single" w:color="auto"/>
          <w:color w:val="auto"/>
        </w:rPr>
        <w:t>Section 10. Clawback</w:t>
      </w:r>
      <w:r>
        <w:rPr>
          <w:rFonts w:ascii="Times New Roman" w:cs="Times New Roman" w:eastAsia="Times New Roman" w:hAnsi="Times New Roman"/>
          <w:sz w:val="22"/>
          <w:szCs w:val="22"/>
          <w:color w:val="auto"/>
        </w:rPr>
        <w:t>. The Award shall be subject to the Company’s Policy for Recovery of Erroneously Awarded Compensation, effective as of December 1, 2023, as such policy may be amended from time to time.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u w:val="single" w:color="auto"/>
          <w:color w:val="auto"/>
        </w:rPr>
        <w:t>Section 11. Amendment and Termination</w:t>
      </w:r>
      <w:r>
        <w:rPr>
          <w:rFonts w:ascii="Times New Roman" w:cs="Times New Roman" w:eastAsia="Times New Roman" w:hAnsi="Times New Roman"/>
          <w:sz w:val="22"/>
          <w:szCs w:val="22"/>
          <w:color w:val="auto"/>
        </w:rPr>
        <w:t xml:space="preserve">. Subject to the terms of the Plan, any amendment to this Agreement shall be in writing and signed by the parties hereto. Notwithstanding the immediately-preceding sentence, subject to the terms of the Plan, the Committee may waive any conditions or rights under, amend any terms of, or alter, suspend, discontinue, cancel or terminate, this Agreement and/or the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terms of the Plan, any such waiver, amendment, alteration, suspension, discontinuance, cancellation or termination that would materially impair the rights of the Participant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holder or beneficiary of the Award shall not be effective without the written consent of the Participant, holder or beneficiary.</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u w:val="single" w:color="auto"/>
          <w:color w:val="auto"/>
        </w:rPr>
        <w:t>Section 12. Construction</w:t>
      </w:r>
      <w:r>
        <w:rPr>
          <w:rFonts w:ascii="Times New Roman" w:cs="Times New Roman" w:eastAsia="Times New Roman" w:hAnsi="Times New Roman"/>
          <w:sz w:val="22"/>
          <w:szCs w:val="22"/>
          <w:color w:val="auto"/>
        </w:rPr>
        <w:t>. The Award granted hereunder is granted by the Company pursuant to the Plan and is in all respects subject to the terms and conditions of the Plan. The Participant hereby acknowledges that a copy of the Plan has been delivered to the Participant and accepts the Award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13. Governing Law</w:t>
      </w:r>
      <w:r>
        <w:rPr>
          <w:rFonts w:ascii="Times New Roman" w:cs="Times New Roman" w:eastAsia="Times New Roman" w:hAnsi="Times New Roman"/>
          <w:sz w:val="22"/>
          <w:szCs w:val="22"/>
          <w:color w:val="auto"/>
        </w:rPr>
        <w:t>. This Agreement shall be construed and enforced in accordance with the laws of the State of Nevada, without giving effect to the choice of law principles thereof, or principles of conflicts of laws of any other jurisdiction which could cause the application of the laws of any jurisdiction other than the State of Nevada.</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14. Counterparts</w:t>
      </w:r>
      <w:r>
        <w:rPr>
          <w:rFonts w:ascii="Times New Roman" w:cs="Times New Roman" w:eastAsia="Times New Roman" w:hAnsi="Times New Roman"/>
          <w:sz w:val="22"/>
          <w:szCs w:val="22"/>
          <w:color w:val="auto"/>
        </w:rPr>
        <w:t>. This Agreement may be executed in counterparts, each of which shall be deemed to be an original but all of which together shall constitute one and the same instrument.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15. Binding Effect</w:t>
      </w:r>
      <w:r>
        <w:rPr>
          <w:rFonts w:ascii="Times New Roman" w:cs="Times New Roman" w:eastAsia="Times New Roman" w:hAnsi="Times New Roman"/>
          <w:sz w:val="22"/>
          <w:szCs w:val="22"/>
          <w:color w:val="auto"/>
        </w:rPr>
        <w:t>. This Agreement shall inure to the benefit of and be binding upon the parties hereto and their respective heirs, executors, administrators, successors and assigns.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16. 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3"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u w:val="single" w:color="auto"/>
          <w:color w:val="auto"/>
        </w:rPr>
        <w:t>Section 17. Compliance with Restrictive Covenants</w:t>
      </w:r>
      <w:r>
        <w:rPr>
          <w:rFonts w:ascii="Times New Roman" w:cs="Times New Roman" w:eastAsia="Times New Roman" w:hAnsi="Times New Roman"/>
          <w:sz w:val="22"/>
          <w:szCs w:val="22"/>
          <w:color w:val="auto"/>
        </w:rPr>
        <w:t>. In consideration for the receipt of the RSUs, the Participant agrees to be bound by the Agreement Regarding Restrictive Covenants and Confidentiality attached to this Agreement.</w:t>
      </w:r>
    </w:p>
    <w:p>
      <w:pPr>
        <w:spacing w:after="0" w:line="358"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18. Section 409A</w:t>
      </w:r>
      <w:r>
        <w:rPr>
          <w:rFonts w:ascii="Times New Roman" w:cs="Times New Roman" w:eastAsia="Times New Roman" w:hAnsi="Times New Roman"/>
          <w:sz w:val="22"/>
          <w:szCs w:val="22"/>
          <w:color w:val="auto"/>
        </w:rPr>
        <w:t>. This Agreement is intended to comply with, or be exempt from, Section 409A of the Code and shall be construed and administered in accordance with Section 409A of the Code. The Restricted Stock Units granted hereunder shall be subject to the provisions of Section 16 of the Plan.</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19. Fractional Shares</w:t>
      </w:r>
      <w:r>
        <w:rPr>
          <w:rFonts w:ascii="Times New Roman" w:cs="Times New Roman" w:eastAsia="Times New Roman" w:hAnsi="Times New Roman"/>
          <w:sz w:val="22"/>
          <w:szCs w:val="22"/>
          <w:color w:val="auto"/>
        </w:rPr>
        <w:t>. No fractional shares shall be delivered under this Agreement and any fractional shares shall be rounded down to the nearest whole share.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Section 20.</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21. Entire Agreement</w:t>
      </w:r>
      <w:r>
        <w:rPr>
          <w:rFonts w:ascii="Times New Roman" w:cs="Times New Roman" w:eastAsia="Times New Roman" w:hAnsi="Times New Roman"/>
          <w:sz w:val="22"/>
          <w:szCs w:val="22"/>
          <w:color w:val="auto"/>
        </w:rPr>
        <w:t>. This Agreement and the Plan constitute the entire agreement between the parties with respect to the subject matter hereof and thereof.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effective as of the date first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200" w:lineRule="exact"/>
        <w:rPr>
          <w:sz w:val="20"/>
          <w:szCs w:val="20"/>
          <w:color w:val="auto"/>
        </w:rPr>
      </w:pPr>
    </w:p>
    <w:p>
      <w:pPr>
        <w:spacing w:after="0" w:line="24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274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-13970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-13970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285115</wp:posOffset>
            </wp:positionV>
            <wp:extent cx="5486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285115</wp:posOffset>
            </wp:positionV>
            <wp:extent cx="5486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285115</wp:posOffset>
            </wp:positionV>
            <wp:extent cx="274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Restricted Stock Unit Award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10.46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(EBITDA)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the [ _____ ]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between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 ______ ]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is made pursuant to the terms of the</w:t>
      </w:r>
    </w:p>
    <w:p>
      <w:pPr>
        <w:spacing w:after="0" w:line="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Company’s Amended &amp; Restated 2015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herein but not defined shall have the meanings set forth in the Plan.</w:t>
      </w:r>
    </w:p>
    <w:p>
      <w:pPr>
        <w:spacing w:after="0" w:line="21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Section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hereby grants to the Participant, on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conditions hereinafter set forth, an Award consisting of a target-level Award hereunder equal to [ # ] restricted stock units (the “EBITDA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subject to the terms and conditions set forth in this Agreement and the Plan. Subject to Section 2, the Participant’s right to receive all or any portion of the restricted stock units granted hereunder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is contingent upon the Company’s level of achievement of the performance goals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 specified in the performance matrix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u w:val="single" w:color="auto"/>
          <w:color w:val="auto"/>
        </w:rPr>
        <w:t>Performance Matrix</w:t>
      </w:r>
      <w:r>
        <w:rPr>
          <w:rFonts w:ascii="Times New Roman" w:cs="Times New Roman" w:eastAsia="Times New Roman" w:hAnsi="Times New Roman"/>
          <w:sz w:val="22"/>
          <w:szCs w:val="22"/>
          <w:color w:val="auto"/>
        </w:rPr>
        <w:t>”), measured over the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indicated in the Performance Matrix. The maximum number of RSUs that the Participant can earn is equal to 200% of the EBITDA Target Award. Subject to the terms and conditions set forth in this Agreement and the Plan, each Restricted Stock Unit represents the right to receive the Fair Market Value of one Share, subject to the terms and conditions set forth in this Agreement (including the Performance Matrix) and the Plan.</w:t>
      </w:r>
    </w:p>
    <w:p>
      <w:pPr>
        <w:spacing w:after="0" w:line="210"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u w:val="single" w:color="auto"/>
          <w:color w:val="auto"/>
        </w:rPr>
        <w:t>Section 2</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Vesting of the Restricted Stock Units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1304"/>
        <w:spacing w:after="0" w:line="211"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Award</w:t>
      </w:r>
      <w:r>
        <w:rPr>
          <w:rFonts w:ascii="Times New Roman" w:cs="Times New Roman" w:eastAsia="Times New Roman" w:hAnsi="Times New Roman"/>
          <w:sz w:val="22"/>
          <w:szCs w:val="22"/>
          <w:color w:val="auto"/>
        </w:rPr>
        <w:t>. No later than 70 days following the end of the Performance Period, the Committee shall determine whether and to what extent the Award of the Restricted Stock Units has been earned for the Performance Period (the actual date of such Committee determination,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The Committee’s determination of the foregoing shall be final and binding on the Participant. Upon such determination by the Committee, the applicable portion the EBITDA Target Award determined by the applicable Payout Percentage (as defined in the Performance Matrix) as a percentage the EBITDA Target Award, as applicable, shall vest and become non-forfeitable (subject to the Participant’s continuous service with the Company and its Affiliates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from the Grant Date through the last day of the Performance Period). On the Determination Date, any Restricted Stock Units which do not vest in accordance with the immediately preceding sentence shall immediately be forfeited and cancelled, and the Participant shall not be entitled to any compensation or other amount with respect thereto.</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Section 2(a), upon the occurrence of a Change in Control (“CIC”) prior to the Determination Date where a Replacement Award is provided to the Participant in lieu of all or a portion of the Restricted Stock Units, then a number of RSUs subject to such Replacement Award based on the greater of (x) target level of achievement or (y) actual level of achievement measured at the time of the CIC (as determined in accordance with the Performance Matrix) will be converted into time-based awards and such Replacement Award shall remain outstanding and unvested subject to continued Service through the last day of the Performance Period (the “</w:t>
      </w:r>
      <w:r>
        <w:rPr>
          <w:rFonts w:ascii="Times New Roman" w:cs="Times New Roman" w:eastAsia="Times New Roman" w:hAnsi="Times New Roman"/>
          <w:sz w:val="22"/>
          <w:szCs w:val="22"/>
          <w:u w:val="single" w:color="auto"/>
          <w:color w:val="auto"/>
        </w:rPr>
        <w:t>Replacement Units</w:t>
      </w:r>
      <w:r>
        <w:rPr>
          <w:rFonts w:ascii="Times New Roman" w:cs="Times New Roman" w:eastAsia="Times New Roman" w:hAnsi="Times New Roman"/>
          <w:sz w:val="22"/>
          <w:szCs w:val="22"/>
          <w:color w:val="auto"/>
        </w:rPr>
        <w:t xml:space="preserve">”). With respect to any portion of the Restricted Stock Units for which a Replacement Award is </w:t>
      </w:r>
      <w:r>
        <w:rPr>
          <w:rFonts w:ascii="Times New Roman" w:cs="Times New Roman" w:eastAsia="Times New Roman" w:hAnsi="Times New Roman"/>
          <w:sz w:val="22"/>
          <w:szCs w:val="22"/>
          <w:b w:val="1"/>
          <w:bCs w:val="1"/>
          <w:i w:val="1"/>
          <w:iCs w:val="1"/>
          <w:color w:val="auto"/>
        </w:rPr>
        <w:t>not</w:t>
      </w:r>
      <w:r>
        <w:rPr>
          <w:rFonts w:ascii="Times New Roman" w:cs="Times New Roman" w:eastAsia="Times New Roman" w:hAnsi="Times New Roman"/>
          <w:sz w:val="22"/>
          <w:szCs w:val="22"/>
          <w:color w:val="auto"/>
        </w:rPr>
        <w:t xml:space="preserve"> provided to the Participant upon a Change in Control, and with respect to any Eligible Units (as defined below)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4837-3720-5725</w:t>
      </w:r>
    </w:p>
    <w:p>
      <w:pPr>
        <w:sectPr>
          <w:pgSz w:w="11900" w:h="16838" w:orient="portrait"/>
          <w:cols w:equalWidth="0" w:num="1">
            <w:col w:w="11240"/>
          </w:cols>
          <w:pgMar w:left="320" w:top="122" w:right="339" w:bottom="1440" w:gutter="0" w:footer="0" w:header="0"/>
        </w:sectPr>
      </w:pPr>
    </w:p>
    <w:bookmarkStart w:id="189" w:name="page190"/>
    <w:bookmarkEnd w:id="189"/>
    <w:p>
      <w:pPr>
        <w:jc w:val="both"/>
        <w:spacing w:after="0" w:line="213" w:lineRule="auto"/>
        <w:rPr>
          <w:sz w:val="20"/>
          <w:szCs w:val="20"/>
          <w:color w:val="auto"/>
        </w:rPr>
      </w:pPr>
      <w:r>
        <w:rPr>
          <w:rFonts w:ascii="Times New Roman" w:cs="Times New Roman" w:eastAsia="Times New Roman" w:hAnsi="Times New Roman"/>
          <w:sz w:val="22"/>
          <w:szCs w:val="22"/>
          <w:color w:val="auto"/>
        </w:rPr>
        <w:t>then-outstanding, such portion of the Restricted Stock Units or Eligible Units, as applicable, shall immediately vest (i) at the greater of (x) target level or (y) actual level of achievement (as determined in accordance with the Performance Matrix in connection with the Change in Control), if the Change in Control occurs prior to the end of the Performance Period, or (ii) at the actual level of achievement (as determined in accordance with Section 2(a)), if the Change in Control occurs following the end of the Performance Period but prior to the Determination Date (in which case, the Determination Date shall occur prior to the Change in Control) (as applicable, the “</w:t>
      </w:r>
      <w:r>
        <w:rPr>
          <w:rFonts w:ascii="Times New Roman" w:cs="Times New Roman" w:eastAsia="Times New Roman" w:hAnsi="Times New Roman"/>
          <w:sz w:val="22"/>
          <w:szCs w:val="22"/>
          <w:u w:val="single" w:color="auto"/>
          <w:color w:val="auto"/>
        </w:rPr>
        <w:t>CIC Vested Awards</w:t>
      </w:r>
      <w:r>
        <w:rPr>
          <w:rFonts w:ascii="Times New Roman" w:cs="Times New Roman" w:eastAsia="Times New Roman" w:hAnsi="Times New Roman"/>
          <w:sz w:val="22"/>
          <w:szCs w:val="22"/>
          <w:color w:val="auto"/>
        </w:rPr>
        <w:t>”). Any CIC Vested Awards will be treated in accordance with Section 12(b) of the Plan.</w:t>
      </w:r>
    </w:p>
    <w:p>
      <w:pPr>
        <w:spacing w:after="0" w:line="156" w:lineRule="exact"/>
        <w:rPr>
          <w:sz w:val="20"/>
          <w:szCs w:val="20"/>
          <w:color w:val="auto"/>
        </w:rPr>
      </w:pPr>
    </w:p>
    <w:p>
      <w:pPr>
        <w:jc w:val="both"/>
        <w:ind w:firstLine="1304"/>
        <w:spacing w:after="0" w:line="209"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without Cause, for Good Reason, or due to Death, Disability or Retirement (other than During the 18-Month Period Immediately Following a Change in Control)</w:t>
      </w:r>
      <w:r>
        <w:rPr>
          <w:rFonts w:ascii="Times New Roman" w:cs="Times New Roman" w:eastAsia="Times New Roman" w:hAnsi="Times New Roman"/>
          <w:sz w:val="22"/>
          <w:szCs w:val="22"/>
          <w:color w:val="auto"/>
        </w:rPr>
        <w:t>. Notwithstanding anything in Section 2(a) or Section 2(d) to the contrary, upon the occurrence of a termination of the Participant’s Service prior to the last day of the Performance Period by the Company and its Affiliates without Cause, by the Participant for Good Reason, or by reason of the Participant’s death, Disability or Retirement, in each case, other than during the 18-month period immediately following a Change in Control (the “</w:t>
      </w:r>
      <w:r>
        <w:rPr>
          <w:rFonts w:ascii="Times New Roman" w:cs="Times New Roman" w:eastAsia="Times New Roman" w:hAnsi="Times New Roman"/>
          <w:sz w:val="22"/>
          <w:szCs w:val="22"/>
          <w:u w:val="single" w:color="auto"/>
          <w:color w:val="auto"/>
        </w:rPr>
        <w:t>CIC Period</w:t>
      </w:r>
      <w:r>
        <w:rPr>
          <w:rFonts w:ascii="Times New Roman" w:cs="Times New Roman" w:eastAsia="Times New Roman" w:hAnsi="Times New Roman"/>
          <w:sz w:val="22"/>
          <w:szCs w:val="22"/>
          <w:color w:val="auto"/>
        </w:rPr>
        <w:t>”), the Participant will remain eligible to vest (determined in accordance with Section 2(a) following the end of the Performance Period) in a pro rata portion of the Restricted Stock Units, determined by multiplying the total number of Restricted Stock Units underlying the EBITDA Target Award by a fraction, the numerator of which is the number of full months that the Participant provided continuous Service during the Performance Period, and the denominator of which is the total number of months (36) in the Performance Period (such pro-rata portion, the “</w:t>
      </w:r>
      <w:r>
        <w:rPr>
          <w:rFonts w:ascii="Times New Roman" w:cs="Times New Roman" w:eastAsia="Times New Roman" w:hAnsi="Times New Roman"/>
          <w:sz w:val="22"/>
          <w:szCs w:val="22"/>
          <w:u w:val="single" w:color="auto"/>
          <w:color w:val="auto"/>
        </w:rPr>
        <w:t>Eligible Units</w:t>
      </w:r>
      <w:r>
        <w:rPr>
          <w:rFonts w:ascii="Times New Roman" w:cs="Times New Roman" w:eastAsia="Times New Roman" w:hAnsi="Times New Roman"/>
          <w:sz w:val="22"/>
          <w:szCs w:val="22"/>
          <w:color w:val="auto"/>
        </w:rPr>
        <w:t>”). Any Restricted Stock Units that do not constitute Eligible Units as a result of the immediately preceding sentence shall immediately be forfeited and cancelled, and the Participant shall not be entitled to any compensation or other amount with respect thereto.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the Company’s termination of Participant’s Service without Cause or the Participant’s voluntary termination at a time when the Participant is at least age of 55 and the sum of the Participant’s age plus years of Service with the Company or its Affiliates (including Service with any predecessor) are equal to or greater than 65.</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Termination During the CIC Period</w:t>
      </w:r>
      <w:r>
        <w:rPr>
          <w:rFonts w:ascii="Times New Roman" w:cs="Times New Roman" w:eastAsia="Times New Roman" w:hAnsi="Times New Roman"/>
          <w:sz w:val="22"/>
          <w:szCs w:val="22"/>
          <w:color w:val="auto"/>
        </w:rPr>
        <w:t>. Notwithstanding anything in Section 2(a)-(c), if the Participant’s Service is terminated by the Company without Cause, by the Participant for Good Reason, or as a result of the Participant’s death, Disability or Retirement (each,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during the CIC Period and prior to the last day of the Performance Period, then the Participant’s Replacement Units (if any) shall immediately vest.</w:t>
      </w:r>
    </w:p>
    <w:p>
      <w:pPr>
        <w:spacing w:after="0" w:line="179" w:lineRule="exact"/>
        <w:rPr>
          <w:rFonts w:ascii="Times New Roman" w:cs="Times New Roman" w:eastAsia="Times New Roman" w:hAnsi="Times New Roman"/>
          <w:sz w:val="22"/>
          <w:szCs w:val="22"/>
          <w:color w:val="auto"/>
        </w:rPr>
      </w:pPr>
    </w:p>
    <w:p>
      <w:pPr>
        <w:ind w:firstLine="8"/>
        <w:spacing w:after="0" w:line="282" w:lineRule="auto"/>
        <w:tabs>
          <w:tab w:leader="none" w:pos="648" w:val="left"/>
        </w:tabs>
        <w:numPr>
          <w:ilvl w:val="0"/>
          <w:numId w:val="66"/>
        </w:numPr>
        <w:rPr>
          <w:rFonts w:ascii="Calibri" w:cs="Calibri" w:eastAsia="Calibri" w:hAnsi="Calibri"/>
          <w:sz w:val="22"/>
          <w:szCs w:val="22"/>
          <w:b w:val="1"/>
          <w:bCs w:val="1"/>
          <w:color w:val="auto"/>
        </w:rPr>
      </w:pPr>
      <w:r>
        <w:rPr>
          <w:rFonts w:ascii="Times New Roman" w:cs="Times New Roman" w:eastAsia="Times New Roman" w:hAnsi="Times New Roman"/>
          <w:sz w:val="22"/>
          <w:szCs w:val="22"/>
          <w:color w:val="auto"/>
        </w:rPr>
        <w:t>For purposes of Sections 2(c) and (d), “Good Reason” shall have the meaning set forth in the Plan, except that the phrase “50 miles” as used in subsection (ii) of such definition shall be replaced by the phrase “100 miles”.</w:t>
      </w:r>
    </w:p>
    <w:p>
      <w:pPr>
        <w:spacing w:after="0" w:line="116" w:lineRule="exact"/>
        <w:rPr>
          <w:rFonts w:ascii="Calibri" w:cs="Calibri" w:eastAsia="Calibri" w:hAnsi="Calibri"/>
          <w:sz w:val="22"/>
          <w:szCs w:val="22"/>
          <w:b w:val="1"/>
          <w:bCs w:val="1"/>
          <w:color w:val="auto"/>
        </w:rPr>
      </w:pPr>
    </w:p>
    <w:p>
      <w:pPr>
        <w:jc w:val="both"/>
        <w:ind w:firstLine="1304"/>
        <w:spacing w:after="0" w:line="215" w:lineRule="auto"/>
        <w:tabs>
          <w:tab w:leader="none" w:pos="194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 of Service</w:t>
      </w:r>
      <w:r>
        <w:rPr>
          <w:rFonts w:ascii="Times New Roman" w:cs="Times New Roman" w:eastAsia="Times New Roman" w:hAnsi="Times New Roman"/>
          <w:sz w:val="22"/>
          <w:szCs w:val="22"/>
          <w:color w:val="auto"/>
        </w:rPr>
        <w:t>. Upon the occurrence of a termination of Participant’s Service prior to the last day of the Performance Period for any reason other than as provided in Section 2(c) or (d), all unvested Restricted Stock Units shall be forfeited and cancelled and Participant shall not be entitled to any compensation or other amount with respect thereto. Notwithstanding anything to the contrary herein, upon a termination of the Participant’s Service for Cause at any time, all RSUs shall be forfeited and cancelled, and the Participant shall not be entitled to any compensation or other amount with respect thereto.</w:t>
      </w:r>
    </w:p>
    <w:p>
      <w:pPr>
        <w:spacing w:after="0" w:line="1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Restricted Stock Units that become vested and non-forfeitable pursuant to Section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shall be settled as soon as reasonably practicable following the Determination Date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395" w:right="339" w:bottom="1440" w:gutter="0" w:footer="0" w:header="0"/>
        </w:sectPr>
      </w:pPr>
    </w:p>
    <w:bookmarkStart w:id="190" w:name="page191"/>
    <w:bookmarkEnd w:id="190"/>
    <w:p>
      <w:pPr>
        <w:jc w:val="both"/>
        <w:spacing w:after="0" w:line="250" w:lineRule="auto"/>
        <w:rPr>
          <w:sz w:val="20"/>
          <w:szCs w:val="20"/>
          <w:color w:val="auto"/>
        </w:rPr>
      </w:pPr>
      <w:r>
        <w:rPr>
          <w:rFonts w:ascii="Times New Roman" w:cs="Times New Roman" w:eastAsia="Times New Roman" w:hAnsi="Times New Roman"/>
          <w:sz w:val="22"/>
          <w:szCs w:val="22"/>
          <w:color w:val="auto"/>
        </w:rPr>
        <w:t>calendar year immediately following the calendar year in which the Performance Period ended); provided, however, that (a) if a Change in Control occurs and a Replacement Award is not provided to Participant in lieu of a portion of the Restricted Stock Units, then the Vested RSUs relating to such portion shall be settled immediately upon the Change in Control; and (b) if a Qualifying Termination occurs during the CIC Period, then the vested portion of the Replacement Units determined in accordance with Section 2(d) shall be settled within ten (10) days following the Qualifying Termination. Unless otherwise determined by the Committee, Vested RSUs will be settled by the Company through the delivery to Participant of a number of shares of common stock equal to the number of Vested RSUs (rounded down to the nearest whole number).</w:t>
      </w:r>
    </w:p>
    <w:p>
      <w:pPr>
        <w:spacing w:after="0" w:line="176"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Restrictions on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Restricted Stock Units (nor any interest therein) may be sold, assigned, alienated,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designation of a beneficiary shall not constitute a sale, assignment, alienation, pledge, attachment, transfer or encumbrance. Notwithstanding the foregoing, at the discretion of the Committee, Restricted Stock Units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20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Investment Representation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is acquiring the Restricted Stock Units for investment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and not with a view to, or in connection with, the public distribution thereof in violation of the Securities Act of 1933, as amended (the “</w:t>
      </w:r>
      <w:r>
        <w:rPr>
          <w:rFonts w:ascii="Times New Roman" w:cs="Times New Roman" w:eastAsia="Times New Roman" w:hAnsi="Times New Roman"/>
          <w:sz w:val="22"/>
          <w:szCs w:val="22"/>
          <w:u w:val="single" w:color="auto"/>
          <w:color w:val="auto"/>
        </w:rPr>
        <w:t>Securities Ac</w:t>
      </w:r>
      <w:r>
        <w:rPr>
          <w:rFonts w:ascii="Times New Roman" w:cs="Times New Roman" w:eastAsia="Times New Roman" w:hAnsi="Times New Roman"/>
          <w:sz w:val="22"/>
          <w:szCs w:val="22"/>
          <w:color w:val="auto"/>
        </w:rPr>
        <w:t xml:space="preserve"> 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granted hereunder shall be subject to adjustment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191" w:name="page192"/>
    <w:bookmarkEnd w:id="191"/>
    <w:p>
      <w:pPr>
        <w:spacing w:after="0" w:line="19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 Right of Continued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this Agreement shall confer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continued service with the Company or any Affiliate.</w:t>
      </w:r>
    </w:p>
    <w:p>
      <w:pPr>
        <w:spacing w:after="0" w:line="149" w:lineRule="exact"/>
        <w:rPr>
          <w:sz w:val="20"/>
          <w:szCs w:val="20"/>
          <w:color w:val="auto"/>
        </w:rPr>
      </w:pPr>
    </w:p>
    <w:p>
      <w:pPr>
        <w:jc w:val="both"/>
        <w:ind w:firstLine="256"/>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Limitation of Rights;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shall not have any privileges of a stockholder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with respect to any Restricted Stock Units, including without limitation any right to vote any Shares underlying such Restricted Stock Units or to receive dividends or other distributions in respect thereof, unless and until Shares underlying the Restricted Stock Units are delivered to the Participant in accordance with this Agreement. Notwithstanding the foregoing, any dividends payable with respect to the Restricted Stock Units during the period from the Grant Date through the date the applicable Restricted Stock Units are settled in accordance with this Agreement will accumulate in cash and be payable to the Participant on a deferred basis, but only to the extent that the Restricted Stock Units vest and are earned in accordance with this Agreement. In no event shall the Participant be entitled to any payments relating to dividends paid after the earlier to occur of the settlement or forfeiture of the applicable Restricted Stock Units and, for the avoidance of doubt, all accumulated dividends shall be forfeited immediately upon the forfeiture or cancellation of the Restricted Stock Units or applicable portion thereof.</w:t>
      </w:r>
    </w:p>
    <w:p>
      <w:pPr>
        <w:spacing w:after="0" w:line="210"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of Restricted Stock Units granted hereunder is granted by the Company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is in all respects subject to the terms and conditions of the Plan. The Participant hereby acknowledges that a copy of the Plan has been delivered to the Participant and accepts the Restricted Stock Units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94"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and enforced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Nevada, without giving effect to the choice of law principles thereof, or principles of conflicts of laws of any other jurisdiction which could cause the application of the laws of any jurisdiction other than the State of Nevada.</w:t>
      </w:r>
    </w:p>
    <w:p>
      <w:pPr>
        <w:spacing w:after="0" w:line="16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each of which shall be deemed to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w:t>
      </w:r>
    </w:p>
    <w:p>
      <w:pPr>
        <w:spacing w:after="0" w:line="190" w:lineRule="exact"/>
        <w:rPr>
          <w:sz w:val="20"/>
          <w:szCs w:val="20"/>
          <w:color w:val="auto"/>
        </w:rPr>
      </w:pPr>
    </w:p>
    <w:p>
      <w:pPr>
        <w:jc w:val="both"/>
        <w:ind w:firstLine="27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12. 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inure to the benefit of and be binding upon the parties hereto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executors, administrators, successors and assigns.</w:t>
      </w:r>
    </w:p>
    <w:p>
      <w:pPr>
        <w:spacing w:after="0" w:line="190"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Section 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intended to comply with, or be exempt from, Section 409A of the Code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construed and administered in accordance with Section 409A of the Code. If a Change in Control constitutes a payment event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40" w:right="339" w:bottom="1440" w:gutter="0" w:footer="0" w:header="0"/>
        </w:sectPr>
      </w:pPr>
    </w:p>
    <w:bookmarkStart w:id="192" w:name="page193"/>
    <w:bookmarkEnd w:id="192"/>
    <w:p>
      <w:pPr>
        <w:jc w:val="both"/>
        <w:spacing w:after="0" w:line="253" w:lineRule="auto"/>
        <w:rPr>
          <w:sz w:val="20"/>
          <w:szCs w:val="20"/>
          <w:color w:val="auto"/>
        </w:rPr>
      </w:pPr>
      <w:r>
        <w:rPr>
          <w:rFonts w:ascii="Times New Roman" w:cs="Times New Roman" w:eastAsia="Times New Roman" w:hAnsi="Times New Roman"/>
          <w:sz w:val="22"/>
          <w:szCs w:val="22"/>
          <w:color w:val="auto"/>
        </w:rPr>
        <w:t>any portion of the RSUs that are determined to be subject to Section 409A of the Code, then, to the extent required to avoid the imposition of additional taxes under Section 409A of the Code, the transaction or event shall only constitute a Change in Control for purposes of the payment timing of such RSUs if such transaction also constitutes a “change in control event,” as defined in Treasury Regulation §1.409A-3(i)(5). The Restricted Stock Units granted hereunder shall be subject to the provisions of Section 16 of the Plan.</w:t>
      </w:r>
    </w:p>
    <w:p>
      <w:pPr>
        <w:spacing w:after="0" w:line="202" w:lineRule="exact"/>
        <w:rPr>
          <w:sz w:val="20"/>
          <w:szCs w:val="20"/>
          <w:color w:val="auto"/>
        </w:rPr>
      </w:pPr>
    </w:p>
    <w:p>
      <w:pPr>
        <w:jc w:val="both"/>
        <w:ind w:right="20" w:firstLine="27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acknowledges and agrees that this Agreement and the Plan constitute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 agreement between the parties with respect to the subject matter hereof and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Section 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shall be subject to the Company’s Policy for Recovery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Erroneously Awarded Compensation, effective as of December 1, 2023, as such policy may be amended from time to time.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u w:val="single" w:color="auto"/>
          <w:color w:val="auto"/>
        </w:rPr>
        <w:t>Section 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Restricted Stock Units shall be subject to tax and/or other withholding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15(e) of the Plan.</w:t>
      </w:r>
    </w:p>
    <w:p>
      <w:pPr>
        <w:spacing w:after="0" w:line="1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Fractional Shares</w:t>
      </w:r>
      <w:r>
        <w:rPr>
          <w:rFonts w:ascii="Times New Roman" w:cs="Times New Roman" w:eastAsia="Times New Roman" w:hAnsi="Times New Roman"/>
          <w:sz w:val="22"/>
          <w:szCs w:val="22"/>
          <w:color w:val="auto"/>
        </w:rPr>
        <w:t>. No fractional shares shall be delivered under this Agreement and any fractional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22"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effective as of the date first above written.</w:t>
      </w:r>
    </w:p>
    <w:p>
      <w:pPr>
        <w:spacing w:after="0" w:line="25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-13970</wp:posOffset>
            </wp:positionV>
            <wp:extent cx="274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1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-13970</wp:posOffset>
            </wp:positionV>
            <wp:extent cx="274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-13970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576580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294005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285115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0260"/>
          </w:cols>
          <w:pgMar w:left="540" w:top="1422" w:right="10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(rTSR)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the [ _____ ]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between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 ______ ]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is made pursuant to the terms of the</w:t>
      </w:r>
    </w:p>
    <w:p>
      <w:pPr>
        <w:spacing w:after="0" w:line="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Company’s Amended &amp; Restated 2015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herein but not defined shall have the meanings set forth in the Plan.</w:t>
      </w:r>
    </w:p>
    <w:p>
      <w:pPr>
        <w:spacing w:after="0" w:line="21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b w:val="1"/>
          <w:bCs w:val="1"/>
          <w:u w:val="single" w:color="auto"/>
          <w:color w:val="auto"/>
        </w:rPr>
        <w:t>Section 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hereby grants to the Participant, on the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conditions hereinafter set forth, an Award consisting of a target-level Award hereunder equal to [ ______ ] restricted stock units</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(the “TSR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subject to the terms and conditions set forth in this Agreement and the Plan. Subject to Section 2, the Participant’s right to receive all or any portion of the restricted stock units granted hereunder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is contingent upon the Company’s level of achievement of the performance goals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 specified in the performance matrix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u w:val="single" w:color="auto"/>
          <w:color w:val="auto"/>
        </w:rPr>
        <w:t>Performance Matrix</w:t>
      </w:r>
      <w:r>
        <w:rPr>
          <w:rFonts w:ascii="Times New Roman" w:cs="Times New Roman" w:eastAsia="Times New Roman" w:hAnsi="Times New Roman"/>
          <w:sz w:val="22"/>
          <w:szCs w:val="22"/>
          <w:color w:val="auto"/>
        </w:rPr>
        <w:t>”), measured over the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indicated in the Performance Matrix. The maximum number of RSUs that the Participant can earn is equal to 200% of the TSR Target Award. Subject to the terms and conditions set forth in this Agreement and the Plan, each Restricted Stock Unit represents the right to receive the Fair Market Value of one Share, subject to the terms and conditions set forth in this Agreement (including the Performance Matrix) and the Plan.</w:t>
      </w:r>
    </w:p>
    <w:p>
      <w:pPr>
        <w:spacing w:after="0" w:line="21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u w:val="single" w:color="auto"/>
          <w:color w:val="auto"/>
        </w:rPr>
        <w:t>Section 2</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Vesting of the Restricted Stock Units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1304"/>
        <w:spacing w:after="0" w:line="211"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Award</w:t>
      </w:r>
      <w:r>
        <w:rPr>
          <w:rFonts w:ascii="Times New Roman" w:cs="Times New Roman" w:eastAsia="Times New Roman" w:hAnsi="Times New Roman"/>
          <w:sz w:val="22"/>
          <w:szCs w:val="22"/>
          <w:color w:val="auto"/>
        </w:rPr>
        <w:t>. No later than 70 days following the end of the Performance Period, the Committee shall determine whether and to what extent the Award of the Restricted Stock Units has been earned for the Performance Period (the actual date of such Committee determination,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The Committee’s determination of the foregoing shall be final and binding on the Participant. Upon such determination by the Committee, the TSR Target Award determined by the applicable Payout Percentage (as defined in the Performance Matrix) as a percentage of the TSR Target Award, as applicable, shall vest and become non-forfeitable (subject to the Participant’s continuous service with the Company and its Affiliates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from the Grant Date through the last day of the Performance Period). On the Determination Date, any Restricted Stock Units which do not vest in accordance with the immediately preceding sentence shall immediately be forfeited and cancelled, and the Participant shall not be entitled to any compensation or other amount with respect thereto.</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Section 2(a), upon the occurrence of a Change in Control (“CIC”) prior to the Determination Date where a Replacement Award is provided to the Participant in lieu of all or a portion of the Restricted Stock Units, then a number of RSUs subject to such Replacement Award based on the greater of (x) target level of achievement or (y) actual level of achievement measured at the time of the CIC (as determined in accordance with the Performance Matrix) will be converted into time-based awards and such Replacement Award shall remain outstanding and unvested subject to continued Service through the last day of the Performance Period (the “</w:t>
      </w:r>
      <w:r>
        <w:rPr>
          <w:rFonts w:ascii="Times New Roman" w:cs="Times New Roman" w:eastAsia="Times New Roman" w:hAnsi="Times New Roman"/>
          <w:sz w:val="22"/>
          <w:szCs w:val="22"/>
          <w:u w:val="single" w:color="auto"/>
          <w:color w:val="auto"/>
        </w:rPr>
        <w:t>Replacement Units</w:t>
      </w:r>
      <w:r>
        <w:rPr>
          <w:rFonts w:ascii="Times New Roman" w:cs="Times New Roman" w:eastAsia="Times New Roman" w:hAnsi="Times New Roman"/>
          <w:sz w:val="22"/>
          <w:szCs w:val="22"/>
          <w:color w:val="auto"/>
        </w:rPr>
        <w:t xml:space="preserve">”). With respect to any portion of the Restricted Stock Units for which a Replacement Award is </w:t>
      </w:r>
      <w:r>
        <w:rPr>
          <w:rFonts w:ascii="Times New Roman" w:cs="Times New Roman" w:eastAsia="Times New Roman" w:hAnsi="Times New Roman"/>
          <w:sz w:val="22"/>
          <w:szCs w:val="22"/>
          <w:b w:val="1"/>
          <w:bCs w:val="1"/>
          <w:i w:val="1"/>
          <w:iCs w:val="1"/>
          <w:color w:val="auto"/>
        </w:rPr>
        <w:t>not</w:t>
      </w:r>
      <w:r>
        <w:rPr>
          <w:rFonts w:ascii="Times New Roman" w:cs="Times New Roman" w:eastAsia="Times New Roman" w:hAnsi="Times New Roman"/>
          <w:sz w:val="22"/>
          <w:szCs w:val="22"/>
          <w:color w:val="auto"/>
        </w:rPr>
        <w:t xml:space="preserve"> provided to the Participant upon a Change in Control, and with respect to any Eligible Units (as defined below) that are then-outstanding, such portion of the Restricted Stock Units or Eligible Units, as applicable,</w:t>
      </w:r>
    </w:p>
    <w:p>
      <w:pPr>
        <w:sectPr>
          <w:pgSz w:w="11900" w:h="16838" w:orient="portrait"/>
          <w:cols w:equalWidth="0" w:num="1">
            <w:col w:w="11240"/>
          </w:cols>
          <w:pgMar w:left="320" w:top="122" w:right="339" w:bottom="1440" w:gutter="0" w:footer="0" w:header="0"/>
        </w:sectPr>
      </w:pPr>
    </w:p>
    <w:bookmarkStart w:id="195" w:name="page196"/>
    <w:bookmarkEnd w:id="195"/>
    <w:p>
      <w:pPr>
        <w:jc w:val="both"/>
        <w:spacing w:after="0" w:line="215" w:lineRule="auto"/>
        <w:rPr>
          <w:sz w:val="20"/>
          <w:szCs w:val="20"/>
          <w:color w:val="auto"/>
        </w:rPr>
      </w:pPr>
      <w:r>
        <w:rPr>
          <w:rFonts w:ascii="Times New Roman" w:cs="Times New Roman" w:eastAsia="Times New Roman" w:hAnsi="Times New Roman"/>
          <w:sz w:val="22"/>
          <w:szCs w:val="22"/>
          <w:color w:val="auto"/>
        </w:rPr>
        <w:t>shall immediately vest (i) at the greater of (x) target level or (y) actual level of achievement (as determined in accordance with the Performance Matrix in connection with the Change in Control), if the Change in Control occurs prior to the end of the Performance Period, or (ii) at the actual level of achievement (as determined in accordance with Section 2(a)), if the Change in Control occurs following the end of the Performance Period but prior to the Determination Date (in which case, the Determination Date shall occur prior to the Change in Control) (as applicable, the “</w:t>
      </w:r>
      <w:r>
        <w:rPr>
          <w:rFonts w:ascii="Times New Roman" w:cs="Times New Roman" w:eastAsia="Times New Roman" w:hAnsi="Times New Roman"/>
          <w:sz w:val="22"/>
          <w:szCs w:val="22"/>
          <w:u w:val="single" w:color="auto"/>
          <w:color w:val="auto"/>
        </w:rPr>
        <w:t>CIC Vested Awards</w:t>
      </w:r>
      <w:r>
        <w:rPr>
          <w:rFonts w:ascii="Times New Roman" w:cs="Times New Roman" w:eastAsia="Times New Roman" w:hAnsi="Times New Roman"/>
          <w:sz w:val="22"/>
          <w:szCs w:val="22"/>
          <w:color w:val="auto"/>
        </w:rPr>
        <w:t>”). Any CIC Vested Awards will be treated in accordance with Section 12(b) of the Plan.</w:t>
      </w:r>
    </w:p>
    <w:p>
      <w:pPr>
        <w:spacing w:after="0" w:line="152" w:lineRule="exact"/>
        <w:rPr>
          <w:sz w:val="20"/>
          <w:szCs w:val="20"/>
          <w:color w:val="auto"/>
        </w:rPr>
      </w:pPr>
    </w:p>
    <w:p>
      <w:pPr>
        <w:jc w:val="both"/>
        <w:ind w:firstLine="1304"/>
        <w:spacing w:after="0" w:line="209"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without Cause, for Good Reason, or due to Death, Disability or Retirement (other than during the 18-Month Period Immediately Following a Change in Control)</w:t>
      </w:r>
      <w:r>
        <w:rPr>
          <w:rFonts w:ascii="Times New Roman" w:cs="Times New Roman" w:eastAsia="Times New Roman" w:hAnsi="Times New Roman"/>
          <w:sz w:val="22"/>
          <w:szCs w:val="22"/>
          <w:color w:val="auto"/>
        </w:rPr>
        <w:t>. Notwithstanding anything in Section 2(a) or Section 2(d) to the contrary, upon the occurrence of a termination of the Participant’s Service prior to the last day of the Performance Period by the Company and its Affiliates without Cause, by the Participant for Good Reason, or by reason of the Participant’s death, Disability or Retirement, in each case, other than during the 18-month period immediately following a Change in Control (the “</w:t>
      </w:r>
      <w:r>
        <w:rPr>
          <w:rFonts w:ascii="Times New Roman" w:cs="Times New Roman" w:eastAsia="Times New Roman" w:hAnsi="Times New Roman"/>
          <w:sz w:val="22"/>
          <w:szCs w:val="22"/>
          <w:u w:val="single" w:color="auto"/>
          <w:color w:val="auto"/>
        </w:rPr>
        <w:t>CIC Period</w:t>
      </w:r>
      <w:r>
        <w:rPr>
          <w:rFonts w:ascii="Times New Roman" w:cs="Times New Roman" w:eastAsia="Times New Roman" w:hAnsi="Times New Roman"/>
          <w:sz w:val="22"/>
          <w:szCs w:val="22"/>
          <w:color w:val="auto"/>
        </w:rPr>
        <w:t>”), the Participant will remain eligible to vest (determined in accordance with Section 2(a) following the end of the Performance Period) in a pro rata portion of the Restricted Stock Units, determined by multiplying the total number of Restricted Stock Units underlying the TSR Target Award by a fraction, the numerator of which is the number of full months that the Participant provided continuous Service during the Performance Period, and the denominator of which is the total number of months (36) in the Performance Period (such pro-rata portion, the “</w:t>
      </w:r>
      <w:r>
        <w:rPr>
          <w:rFonts w:ascii="Times New Roman" w:cs="Times New Roman" w:eastAsia="Times New Roman" w:hAnsi="Times New Roman"/>
          <w:sz w:val="22"/>
          <w:szCs w:val="22"/>
          <w:u w:val="single" w:color="auto"/>
          <w:color w:val="auto"/>
        </w:rPr>
        <w:t>Eligible Units</w:t>
      </w:r>
      <w:r>
        <w:rPr>
          <w:rFonts w:ascii="Times New Roman" w:cs="Times New Roman" w:eastAsia="Times New Roman" w:hAnsi="Times New Roman"/>
          <w:sz w:val="22"/>
          <w:szCs w:val="22"/>
          <w:color w:val="auto"/>
        </w:rPr>
        <w:t>”). Any Restricted Stock Units that do not constitute Eligible Units as a result of the immediately preceding sentence shall immediately be forfeited and cancelled, and the Participant shall not be entitled to any compensation or other amount with respect thereto.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the Company’s termination of Participant’s Service without Cause or the Participant’s voluntary termination at a time when the Participant is at least age of 55 and the sum of the Participant’s age plus years of Service with the Company or its Affiliates (including Service with any predecessor) are equal to or greater than 65.</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Termination During the CIC Period</w:t>
      </w:r>
      <w:r>
        <w:rPr>
          <w:rFonts w:ascii="Times New Roman" w:cs="Times New Roman" w:eastAsia="Times New Roman" w:hAnsi="Times New Roman"/>
          <w:sz w:val="22"/>
          <w:szCs w:val="22"/>
          <w:color w:val="auto"/>
        </w:rPr>
        <w:t>. Notwithstanding anything in Section 2(a)-(c), if the Participant’s Service is terminated by the Company without Cause, by the Participant for Good Reason, or as a result of the Participant’s death, Disability or Retirement (each,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during the CIC Period and prior to the last day of the Performance Period, then the Participant’s Replacement Units (if any) shall immediately vest.</w:t>
      </w:r>
    </w:p>
    <w:p>
      <w:pPr>
        <w:spacing w:after="0" w:line="179" w:lineRule="exact"/>
        <w:rPr>
          <w:rFonts w:ascii="Times New Roman" w:cs="Times New Roman" w:eastAsia="Times New Roman" w:hAnsi="Times New Roman"/>
          <w:sz w:val="22"/>
          <w:szCs w:val="22"/>
          <w:color w:val="auto"/>
        </w:rPr>
      </w:pPr>
    </w:p>
    <w:p>
      <w:pPr>
        <w:ind w:firstLine="8"/>
        <w:spacing w:after="0" w:line="282" w:lineRule="auto"/>
        <w:tabs>
          <w:tab w:leader="none" w:pos="648" w:val="left"/>
        </w:tabs>
        <w:numPr>
          <w:ilvl w:val="0"/>
          <w:numId w:val="69"/>
        </w:numPr>
        <w:rPr>
          <w:rFonts w:ascii="Calibri" w:cs="Calibri" w:eastAsia="Calibri" w:hAnsi="Calibri"/>
          <w:sz w:val="22"/>
          <w:szCs w:val="22"/>
          <w:b w:val="1"/>
          <w:bCs w:val="1"/>
          <w:color w:val="auto"/>
        </w:rPr>
      </w:pPr>
      <w:r>
        <w:rPr>
          <w:rFonts w:ascii="Times New Roman" w:cs="Times New Roman" w:eastAsia="Times New Roman" w:hAnsi="Times New Roman"/>
          <w:sz w:val="22"/>
          <w:szCs w:val="22"/>
          <w:color w:val="auto"/>
        </w:rPr>
        <w:t>For purposes of Sections 2(c) and (d), “Good Reason” shall have the meaning set forth in the Plan, except that the phrase “50 miles” as used in subsection (ii) of such definition shall be replaced by the phrase “100 miles”.</w:t>
      </w:r>
    </w:p>
    <w:p>
      <w:pPr>
        <w:spacing w:after="0" w:line="116" w:lineRule="exact"/>
        <w:rPr>
          <w:rFonts w:ascii="Calibri" w:cs="Calibri" w:eastAsia="Calibri" w:hAnsi="Calibri"/>
          <w:sz w:val="22"/>
          <w:szCs w:val="22"/>
          <w:b w:val="1"/>
          <w:bCs w:val="1"/>
          <w:color w:val="auto"/>
        </w:rPr>
      </w:pPr>
    </w:p>
    <w:p>
      <w:pPr>
        <w:jc w:val="both"/>
        <w:ind w:firstLine="1304"/>
        <w:spacing w:after="0" w:line="215" w:lineRule="auto"/>
        <w:tabs>
          <w:tab w:leader="none" w:pos="194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 of Service</w:t>
      </w:r>
      <w:r>
        <w:rPr>
          <w:rFonts w:ascii="Times New Roman" w:cs="Times New Roman" w:eastAsia="Times New Roman" w:hAnsi="Times New Roman"/>
          <w:sz w:val="22"/>
          <w:szCs w:val="22"/>
          <w:color w:val="auto"/>
        </w:rPr>
        <w:t>. Upon the occurrence of a termination of Participant’s Service prior to the last day of the Performance Period for any reason other than as provided in Section 2(c) or (d), all unvested Restricted Stock Units shall be forfeited and cancelled, and Participant shall not be entitled to any compensation or other amount with respect thereto. Notwithstanding anything to the contrary herein, upon a termination of the Participant’s Service for Cause at any time, all RSUs shall be forfeited and cancelled, and the Participant shall not be entitled to any compensation or other amount with respect thereto.</w:t>
      </w:r>
    </w:p>
    <w:p>
      <w:pPr>
        <w:spacing w:after="0" w:line="1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Restricted Stock Units that become vested and non-forfeitable pursuant to Section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shall be settled as soon as reasonably practicable following the Determination Date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395" w:right="339" w:bottom="1440" w:gutter="0" w:footer="0" w:header="0"/>
        </w:sectPr>
      </w:pPr>
    </w:p>
    <w:bookmarkStart w:id="196" w:name="page197"/>
    <w:bookmarkEnd w:id="196"/>
    <w:p>
      <w:pPr>
        <w:jc w:val="both"/>
        <w:spacing w:after="0" w:line="250" w:lineRule="auto"/>
        <w:rPr>
          <w:sz w:val="20"/>
          <w:szCs w:val="20"/>
          <w:color w:val="auto"/>
        </w:rPr>
      </w:pPr>
      <w:r>
        <w:rPr>
          <w:rFonts w:ascii="Times New Roman" w:cs="Times New Roman" w:eastAsia="Times New Roman" w:hAnsi="Times New Roman"/>
          <w:sz w:val="22"/>
          <w:szCs w:val="22"/>
          <w:color w:val="auto"/>
        </w:rPr>
        <w:t>calendar year immediately following the calendar year in which the Performance Period ended); provided, however, that (a) if a Change in Control occurs and a Replacement Award is not provided to Participant in lieu of a portion of the Restricted Stock Units, then the Vested RSUs relating to such portion shall be settled immediately upon the Change in Control; and (b) if a Qualifying Termination occurs during the CIC Period, then the vested portion of the Replacement Units determined in accordance with Section 2(d) shall be settled within ten (10) days following the Qualifying Termination. Unless otherwise determined by the Committee, Vested RSUs will be settled by the Company through the delivery to Participant of a number of shares of common stock equal to the number of Vested RSUs (rounded down to the nearest whole number).</w:t>
      </w:r>
    </w:p>
    <w:p>
      <w:pPr>
        <w:spacing w:after="0" w:line="176" w:lineRule="exact"/>
        <w:rPr>
          <w:sz w:val="20"/>
          <w:szCs w:val="20"/>
          <w:color w:val="auto"/>
        </w:rPr>
      </w:pPr>
    </w:p>
    <w:p>
      <w:pPr>
        <w:jc w:val="both"/>
        <w:ind w:firstLine="243"/>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Restrictions on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Restricted Stock Units (nor any interest therein) may be sold, assigned, alienated,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designation of a beneficiary shall not constitute a sale, assignment, alienation, pledge, attachment, transfer or encumbrance. Notwithstanding the foregoing, at the discretion of the Committee, Restricted Stock Units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20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Investment Representation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is acquiring the Restricted Stock Units for investment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and not with a view to, or in connection with, the public distribution thereof in violation of the Securities Act of 1933, as amended (the “</w:t>
      </w:r>
      <w:r>
        <w:rPr>
          <w:rFonts w:ascii="Times New Roman" w:cs="Times New Roman" w:eastAsia="Times New Roman" w:hAnsi="Times New Roman"/>
          <w:sz w:val="22"/>
          <w:szCs w:val="22"/>
          <w:u w:val="single" w:color="auto"/>
          <w:color w:val="auto"/>
        </w:rPr>
        <w:t>Securities Ac</w:t>
      </w:r>
      <w:r>
        <w:rPr>
          <w:rFonts w:ascii="Times New Roman" w:cs="Times New Roman" w:eastAsia="Times New Roman" w:hAnsi="Times New Roman"/>
          <w:sz w:val="22"/>
          <w:szCs w:val="22"/>
          <w:color w:val="auto"/>
        </w:rPr>
        <w:t xml:space="preserve"> 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granted hereunder shall be subject to adjustment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197" w:name="page198"/>
    <w:bookmarkEnd w:id="197"/>
    <w:p>
      <w:pPr>
        <w:spacing w:after="0" w:line="19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 Right of Continued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this Agreement shall confer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continued service with the Company or any Affiliate.</w:t>
      </w:r>
    </w:p>
    <w:p>
      <w:pPr>
        <w:spacing w:after="0" w:line="149" w:lineRule="exact"/>
        <w:rPr>
          <w:sz w:val="20"/>
          <w:szCs w:val="20"/>
          <w:color w:val="auto"/>
        </w:rPr>
      </w:pPr>
    </w:p>
    <w:p>
      <w:pPr>
        <w:jc w:val="both"/>
        <w:ind w:firstLine="256"/>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Limitation of Rights;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shall not have any privileges of a stockholder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with respect to any Restricted Stock Units, including without limitation any right to vote any Shares underlying such Restricted Stock Units or to receive dividends or other distributions in respect thereof, unless and until Shares underlying the Restricted Stock Units are delivered to the Participant in accordance with this Agreement. Notwithstanding the foregoing, any dividends payable with respect to the Restricted Stock Units during the period from the Grant Date through the date the applicable Restricted Stock Units are settled in accordance with this Agreement will accumulate in cash and be payable to the Participant on a deferred basis, but only to the extent that the Restricted Stock Units vest and are earned in accordance with this Agreement. In no event shall the Participant be entitled to any payments relating to dividends paid after the earlier to occur of the settlement or forfeiture of the applicable Restricted Stock Units and, for the avoidance of doubt, all accumulated dividends shall be forfeited immediately upon the forfeiture or cancellation of the Restricted Stock Units or applicable portion thereof.</w:t>
      </w:r>
    </w:p>
    <w:p>
      <w:pPr>
        <w:spacing w:after="0" w:line="210"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of Restricted Stock Units granted hereunder is granted by the Company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is in all respects subject to the terms and conditions of the Plan. The Participant hereby acknowledges that a copy of the Plan has been delivered to the Participant and accepts the Restricted Stock Units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94"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and enforced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Nevada, without giving effect to the choice of law principles thereof, or principles of conflicts of laws of any other jurisdiction which could cause the application of the laws of any jurisdiction other than the State of Nevada.</w:t>
      </w:r>
    </w:p>
    <w:p>
      <w:pPr>
        <w:spacing w:after="0" w:line="16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each of which shall be deemed to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w:t>
      </w:r>
    </w:p>
    <w:p>
      <w:pPr>
        <w:spacing w:after="0" w:line="190" w:lineRule="exact"/>
        <w:rPr>
          <w:sz w:val="20"/>
          <w:szCs w:val="20"/>
          <w:color w:val="auto"/>
        </w:rPr>
      </w:pPr>
    </w:p>
    <w:p>
      <w:pPr>
        <w:jc w:val="both"/>
        <w:ind w:firstLine="27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12. 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inure to the benefit of and be binding upon the parties hereto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executors, administrators, successors and assigns.</w:t>
      </w:r>
    </w:p>
    <w:p>
      <w:pPr>
        <w:spacing w:after="0" w:line="190"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Section 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intended to comply with, or be exempt from, Section 409A of the Code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construed and administered in accordance with Section 409A of the Code. If a Change in Control constitutes a payment event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40" w:right="339" w:bottom="1440" w:gutter="0" w:footer="0" w:header="0"/>
        </w:sectPr>
      </w:pPr>
    </w:p>
    <w:bookmarkStart w:id="198" w:name="page199"/>
    <w:bookmarkEnd w:id="198"/>
    <w:p>
      <w:pPr>
        <w:jc w:val="both"/>
        <w:spacing w:after="0" w:line="253" w:lineRule="auto"/>
        <w:rPr>
          <w:sz w:val="20"/>
          <w:szCs w:val="20"/>
          <w:color w:val="auto"/>
        </w:rPr>
      </w:pPr>
      <w:r>
        <w:rPr>
          <w:rFonts w:ascii="Times New Roman" w:cs="Times New Roman" w:eastAsia="Times New Roman" w:hAnsi="Times New Roman"/>
          <w:sz w:val="22"/>
          <w:szCs w:val="22"/>
          <w:color w:val="auto"/>
        </w:rPr>
        <w:t>any portion of the RSUs that are determined to be subject to Section 409A of the Code, then, to the extent required to avoid the imposition of additional taxes under Section 409A of the Code, the transaction or event shall only constitute a Change in Control for purposes of the payment timing of such RSUs if such transaction also constitutes a “change in control event,” as defined in Treasury Regulation §1.409A-3(i)(5). The Restricted Stock Units granted hereunder shall be subject to the provisions of Section 16 of the Plan.</w:t>
      </w:r>
    </w:p>
    <w:p>
      <w:pPr>
        <w:spacing w:after="0" w:line="202" w:lineRule="exact"/>
        <w:rPr>
          <w:sz w:val="20"/>
          <w:szCs w:val="20"/>
          <w:color w:val="auto"/>
        </w:rPr>
      </w:pPr>
    </w:p>
    <w:p>
      <w:pPr>
        <w:jc w:val="both"/>
        <w:ind w:right="20" w:firstLine="27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acknowledges and agrees that this Agreement and the Plan constitute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 agreement between the parties with respect to the subject matter hereof and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Section 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shall be subject to the Company’s Policy for Recovery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Erroneously Awarded Compensation, effective as of December 1, 2023, as such policy may be amended from time to time.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u w:val="single" w:color="auto"/>
          <w:color w:val="auto"/>
        </w:rPr>
        <w:t>Section 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Restricted Stock Units shall be subject to tax and/or other withholding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15(e) of the Plan.</w:t>
      </w:r>
    </w:p>
    <w:p>
      <w:pPr>
        <w:spacing w:after="0" w:line="1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Section 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Fractional Shares</w:t>
      </w:r>
      <w:r>
        <w:rPr>
          <w:rFonts w:ascii="Times New Roman" w:cs="Times New Roman" w:eastAsia="Times New Roman" w:hAnsi="Times New Roman"/>
          <w:sz w:val="22"/>
          <w:szCs w:val="22"/>
          <w:color w:val="auto"/>
        </w:rPr>
        <w:t>. No fractional shares shall be delivered under this Agreement and any fractional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22"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effective as of the date first above written.</w:t>
      </w:r>
    </w:p>
    <w:p>
      <w:pPr>
        <w:spacing w:after="0" w:line="25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-13970</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-13970</wp:posOffset>
            </wp:positionV>
            <wp:extent cx="274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-13970</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576580</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294005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-13970</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0260"/>
          </w:cols>
          <w:pgMar w:left="540" w:top="1422" w:right="109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EXECUTIVE EMPLOYMENT AGREEMENT</w:t>
      </w:r>
    </w:p>
    <w:p>
      <w:pPr>
        <w:spacing w:after="0" w:line="332"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THIS AMENDED AND RESTATED EXECUTIVE EMPLOYMENT AGREEMENT (this “Agreement”) is made and entered into as of August 10, 2022 (the “Effective Date”), by and between Caesars Enterprise Services, LLC, a Delaware limited liability company (the “Company”), and </w:t>
      </w:r>
      <w:r>
        <w:rPr>
          <w:rFonts w:ascii="Times New Roman" w:cs="Times New Roman" w:eastAsia="Times New Roman" w:hAnsi="Times New Roman"/>
          <w:sz w:val="22"/>
          <w:szCs w:val="22"/>
          <w:b w:val="1"/>
          <w:bCs w:val="1"/>
          <w:color w:val="auto"/>
        </w:rPr>
        <w:t>Stephanie Lepori</w:t>
      </w:r>
      <w:r>
        <w:rPr>
          <w:rFonts w:ascii="Times New Roman" w:cs="Times New Roman" w:eastAsia="Times New Roman" w:hAnsi="Times New Roman"/>
          <w:sz w:val="22"/>
          <w:szCs w:val="22"/>
          <w:color w:val="auto"/>
        </w:rPr>
        <w:t xml:space="preserve"> (the “Executive”).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E T H</w:t>
      </w:r>
    </w:p>
    <w:p>
      <w:pPr>
        <w:spacing w:after="0" w:line="332"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the Executive are parties to that certain Executive Employment Agreement dated as of December 28, 2021 (the “Prior Agreement”); and</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Company and the Executive desire to amend and restate the Prior Agreement in its entirety and enter into this Agreement to modify certain terms of the Executive’s employment.</w:t>
      </w:r>
    </w:p>
    <w:p>
      <w:pPr>
        <w:spacing w:after="0" w:line="144"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shall mean the salary provided for in Article 4 below.</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shall mean the Board of Directors of the Parent.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the Executive’s:</w:t>
      </w:r>
    </w:p>
    <w:p>
      <w:pPr>
        <w:spacing w:after="0" w:line="179" w:lineRule="exact"/>
        <w:rPr>
          <w:sz w:val="20"/>
          <w:szCs w:val="20"/>
          <w:color w:val="auto"/>
        </w:rPr>
      </w:pPr>
    </w:p>
    <w:p>
      <w:pPr>
        <w:ind w:left="2600" w:right="1000" w:hanging="648"/>
        <w:spacing w:after="0" w:line="236" w:lineRule="auto"/>
        <w:tabs>
          <w:tab w:leader="none" w:pos="25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failure to substantially perform her duties with the Parent, Company or any of its Subsidiaries (other than any such failure resulting from the Executive’s Disability);</w:t>
      </w:r>
    </w:p>
    <w:p>
      <w:pPr>
        <w:spacing w:after="0" w:line="150" w:lineRule="exact"/>
        <w:rPr>
          <w:rFonts w:ascii="Times New Roman" w:cs="Times New Roman" w:eastAsia="Times New Roman" w:hAnsi="Times New Roman"/>
          <w:sz w:val="22"/>
          <w:szCs w:val="22"/>
          <w:color w:val="auto"/>
        </w:rPr>
      </w:pPr>
    </w:p>
    <w:p>
      <w:pPr>
        <w:ind w:left="2660" w:hanging="708"/>
        <w:spacing w:after="0"/>
        <w:tabs>
          <w:tab w:leader="none" w:pos="2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negligence in the performance of the Executive’s duties;</w:t>
      </w:r>
    </w:p>
    <w:p>
      <w:pPr>
        <w:spacing w:after="0" w:line="179" w:lineRule="exact"/>
        <w:rPr>
          <w:rFonts w:ascii="Times New Roman" w:cs="Times New Roman" w:eastAsia="Times New Roman" w:hAnsi="Times New Roman"/>
          <w:sz w:val="22"/>
          <w:szCs w:val="22"/>
          <w:color w:val="auto"/>
        </w:rPr>
      </w:pPr>
    </w:p>
    <w:p>
      <w:pPr>
        <w:ind w:left="2600" w:right="220" w:hanging="648"/>
        <w:spacing w:after="0" w:line="220" w:lineRule="auto"/>
        <w:tabs>
          <w:tab w:leader="none" w:pos="25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52" w:lineRule="exact"/>
        <w:rPr>
          <w:rFonts w:ascii="Times New Roman" w:cs="Times New Roman" w:eastAsia="Times New Roman" w:hAnsi="Times New Roman"/>
          <w:sz w:val="22"/>
          <w:szCs w:val="22"/>
          <w:color w:val="auto"/>
        </w:rPr>
      </w:pPr>
    </w:p>
    <w:p>
      <w:pPr>
        <w:ind w:left="2600" w:right="80" w:hanging="648"/>
        <w:spacing w:after="0" w:line="236" w:lineRule="auto"/>
        <w:tabs>
          <w:tab w:leader="none" w:pos="257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engagement in conduct that is materially injurious to the Parent or any of its Subsidiaries or affiliates (including the Company), monetarily or otherwise;</w:t>
      </w:r>
    </w:p>
    <w:p>
      <w:pPr>
        <w:spacing w:after="0" w:line="150" w:lineRule="exact"/>
        <w:rPr>
          <w:rFonts w:ascii="Times New Roman" w:cs="Times New Roman" w:eastAsia="Times New Roman" w:hAnsi="Times New Roman"/>
          <w:sz w:val="22"/>
          <w:szCs w:val="22"/>
          <w:color w:val="auto"/>
        </w:rPr>
      </w:pPr>
    </w:p>
    <w:p>
      <w:pPr>
        <w:ind w:left="2600" w:right="20" w:hanging="648"/>
        <w:spacing w:after="0" w:line="236" w:lineRule="auto"/>
        <w:tabs>
          <w:tab w:leader="none" w:pos="258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violation of any provision of the Parent’s Code of Business Ethics, as amended from time to time;</w:t>
      </w:r>
    </w:p>
    <w:p>
      <w:pPr>
        <w:spacing w:after="0" w:line="150" w:lineRule="exact"/>
        <w:rPr>
          <w:rFonts w:ascii="Times New Roman" w:cs="Times New Roman" w:eastAsia="Times New Roman" w:hAnsi="Times New Roman"/>
          <w:sz w:val="22"/>
          <w:szCs w:val="22"/>
          <w:color w:val="auto"/>
        </w:rPr>
      </w:pPr>
    </w:p>
    <w:p>
      <w:pPr>
        <w:ind w:left="2600" w:right="760" w:hanging="648"/>
        <w:spacing w:after="0" w:line="236" w:lineRule="auto"/>
        <w:tabs>
          <w:tab w:leader="none" w:pos="25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of the covenants contained in Articles 11 through 15 of this Agreement, as applicable;</w:t>
      </w:r>
    </w:p>
    <w:p>
      <w:pPr>
        <w:sectPr>
          <w:pgSz w:w="11900" w:h="16838" w:orient="portrait"/>
          <w:cols w:equalWidth="0" w:num="1">
            <w:col w:w="11240"/>
          </w:cols>
          <w:pgMar w:left="320" w:top="114" w:right="339" w:bottom="1440" w:gutter="0" w:footer="0" w:header="0"/>
        </w:sectPr>
      </w:pPr>
    </w:p>
    <w:bookmarkStart w:id="201" w:name="page202"/>
    <w:bookmarkEnd w:id="201"/>
    <w:p>
      <w:pPr>
        <w:spacing w:after="0" w:line="171" w:lineRule="exact"/>
        <w:rPr>
          <w:sz w:val="20"/>
          <w:szCs w:val="20"/>
          <w:color w:val="auto"/>
        </w:rPr>
      </w:pPr>
    </w:p>
    <w:p>
      <w:pPr>
        <w:ind w:left="2600" w:right="60" w:hanging="648"/>
        <w:spacing w:after="0" w:line="236" w:lineRule="auto"/>
        <w:tabs>
          <w:tab w:leader="none" w:pos="259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act of dishonesty resulting in, or intended to result in, personal gain at the expense of the Parent or any of its Subsidiaries or affiliates (including the Company);</w:t>
      </w:r>
    </w:p>
    <w:p>
      <w:pPr>
        <w:spacing w:after="0" w:line="150" w:lineRule="exact"/>
        <w:rPr>
          <w:rFonts w:ascii="Times New Roman" w:cs="Times New Roman" w:eastAsia="Times New Roman" w:hAnsi="Times New Roman"/>
          <w:sz w:val="22"/>
          <w:szCs w:val="22"/>
          <w:color w:val="auto"/>
        </w:rPr>
      </w:pPr>
    </w:p>
    <w:p>
      <w:pPr>
        <w:ind w:left="2600" w:right="140" w:hanging="648"/>
        <w:spacing w:after="0" w:line="236" w:lineRule="auto"/>
        <w:tabs>
          <w:tab w:leader="none" w:pos="25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by any state gaming regulatory agency that the Executive is not suitable to hold her position or otherwise to participate in a gaming enterprise in the state in question;</w:t>
      </w:r>
    </w:p>
    <w:p>
      <w:pPr>
        <w:spacing w:after="0" w:line="150" w:lineRule="exact"/>
        <w:rPr>
          <w:rFonts w:ascii="Times New Roman" w:cs="Times New Roman" w:eastAsia="Times New Roman" w:hAnsi="Times New Roman"/>
          <w:sz w:val="22"/>
          <w:szCs w:val="22"/>
          <w:color w:val="auto"/>
        </w:rPr>
      </w:pPr>
    </w:p>
    <w:p>
      <w:pPr>
        <w:ind w:left="2600" w:right="420" w:hanging="648"/>
        <w:spacing w:after="0" w:line="220" w:lineRule="auto"/>
        <w:tabs>
          <w:tab w:leader="none" w:pos="25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2" w:lineRule="exact"/>
        <w:rPr>
          <w:rFonts w:ascii="Times New Roman" w:cs="Times New Roman" w:eastAsia="Times New Roman" w:hAnsi="Times New Roman"/>
          <w:sz w:val="22"/>
          <w:szCs w:val="22"/>
          <w:color w:val="auto"/>
        </w:rPr>
      </w:pPr>
    </w:p>
    <w:p>
      <w:pPr>
        <w:ind w:left="2600" w:right="60" w:hanging="648"/>
        <w:spacing w:after="0" w:line="236" w:lineRule="auto"/>
        <w:tabs>
          <w:tab w:leader="none" w:pos="26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or inaction by the Executive that constitutes a material breach by the Executive of the terms and conditions of this Agreement.</w:t>
      </w:r>
    </w:p>
    <w:p>
      <w:pPr>
        <w:spacing w:after="0" w:line="17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81"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29" w:lineRule="exact"/>
        <w:rPr>
          <w:sz w:val="20"/>
          <w:szCs w:val="20"/>
          <w:color w:val="auto"/>
        </w:rPr>
      </w:pPr>
    </w:p>
    <w:p>
      <w:pPr>
        <w:ind w:left="2640" w:hanging="688"/>
        <w:spacing w:after="0"/>
        <w:tabs>
          <w:tab w:leader="none" w:pos="26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the occurrence of any of the following events with regard to the</w:t>
      </w:r>
    </w:p>
    <w:p>
      <w:pPr>
        <w:ind w:left="1300"/>
        <w:spacing w:after="0"/>
        <w:rPr>
          <w:sz w:val="20"/>
          <w:szCs w:val="20"/>
          <w:color w:val="auto"/>
        </w:rPr>
      </w:pPr>
      <w:r>
        <w:rPr>
          <w:rFonts w:ascii="Times New Roman" w:cs="Times New Roman" w:eastAsia="Times New Roman" w:hAnsi="Times New Roman"/>
          <w:sz w:val="22"/>
          <w:szCs w:val="22"/>
          <w:color w:val="auto"/>
        </w:rPr>
        <w:t>Parent:</w:t>
      </w:r>
    </w:p>
    <w:p>
      <w:pPr>
        <w:spacing w:after="0" w:line="154" w:lineRule="exact"/>
        <w:rPr>
          <w:sz w:val="20"/>
          <w:szCs w:val="20"/>
          <w:color w:val="auto"/>
        </w:rPr>
      </w:pPr>
    </w:p>
    <w:p>
      <w:pPr>
        <w:ind w:left="2600" w:hanging="648"/>
        <w:spacing w:after="0"/>
        <w:tabs>
          <w:tab w:leader="none" w:pos="26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w:t>
      </w:r>
    </w:p>
    <w:p>
      <w:pPr>
        <w:ind w:left="2600" w:right="14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4" w:lineRule="exact"/>
        <w:rPr>
          <w:rFonts w:ascii="Times New Roman" w:cs="Times New Roman" w:eastAsia="Times New Roman" w:hAnsi="Times New Roman"/>
          <w:sz w:val="21"/>
          <w:szCs w:val="21"/>
          <w:color w:val="auto"/>
        </w:rPr>
      </w:pPr>
    </w:p>
    <w:p>
      <w:pPr>
        <w:ind w:left="26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any such acquisition</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pursuant to a transaction that complies with clauses (A), (B) and (C) of paragraph (iii) below; or</w:t>
      </w:r>
    </w:p>
    <w:p>
      <w:pPr>
        <w:spacing w:after="0" w:line="179" w:lineRule="exact"/>
        <w:rPr>
          <w:sz w:val="20"/>
          <w:szCs w:val="20"/>
          <w:color w:val="auto"/>
        </w:rPr>
      </w:pPr>
    </w:p>
    <w:p>
      <w:pPr>
        <w:ind w:left="1480" w:right="60" w:hanging="648"/>
        <w:spacing w:after="0" w:line="210" w:lineRule="auto"/>
        <w:tabs>
          <w:tab w:leader="none" w:pos="14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7" w:lineRule="exact"/>
        <w:rPr>
          <w:rFonts w:ascii="Times New Roman" w:cs="Times New Roman" w:eastAsia="Times New Roman" w:hAnsi="Times New Roman"/>
          <w:sz w:val="22"/>
          <w:szCs w:val="22"/>
          <w:color w:val="auto"/>
        </w:rPr>
      </w:pPr>
    </w:p>
    <w:p>
      <w:pPr>
        <w:ind w:left="1480" w:hanging="648"/>
        <w:spacing w:after="0" w:line="207" w:lineRule="auto"/>
        <w:tabs>
          <w:tab w:leader="none" w:pos="147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16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Parent of a complete liquidation or dissolution of the Parent.</w:t>
      </w:r>
    </w:p>
    <w:p>
      <w:pPr>
        <w:sectPr>
          <w:pgSz w:w="11900" w:h="16838" w:orient="portrait"/>
          <w:cols w:equalWidth="0" w:num="1">
            <w:col w:w="10120"/>
          </w:cols>
          <w:pgMar w:left="1440" w:top="1440" w:right="339" w:bottom="1440" w:gutter="0" w:footer="0" w:header="0"/>
        </w:sectPr>
      </w:pPr>
    </w:p>
    <w:bookmarkStart w:id="203" w:name="page204"/>
    <w:bookmarkEnd w:id="203"/>
    <w:p>
      <w:pPr>
        <w:spacing w:after="0" w:line="198"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1"/>
          <w:szCs w:val="21"/>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 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37" w:lineRule="exact"/>
        <w:rPr>
          <w:sz w:val="20"/>
          <w:szCs w:val="20"/>
          <w:color w:val="auto"/>
        </w:rPr>
      </w:pPr>
    </w:p>
    <w:p>
      <w:pPr>
        <w:ind w:left="2600" w:hanging="648"/>
        <w:spacing w:after="0"/>
        <w:tabs>
          <w:tab w:leader="none" w:pos="26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1300" w:right="320" w:firstLine="652"/>
        <w:spacing w:after="0" w:line="236" w:lineRule="auto"/>
        <w:tabs>
          <w:tab w:leader="none" w:pos="25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shall mean the Compensation Committee of the Board or any other committee appointed by the Board to perform the functions of the Compensation Committee.</w:t>
      </w:r>
    </w:p>
    <w:p>
      <w:pPr>
        <w:spacing w:after="0" w:line="150" w:lineRule="exact"/>
        <w:rPr>
          <w:rFonts w:ascii="Times New Roman" w:cs="Times New Roman" w:eastAsia="Times New Roman" w:hAnsi="Times New Roman"/>
          <w:sz w:val="22"/>
          <w:szCs w:val="22"/>
          <w:color w:val="auto"/>
        </w:rPr>
      </w:pPr>
    </w:p>
    <w:p>
      <w:pPr>
        <w:ind w:left="1300" w:right="640" w:firstLine="652"/>
        <w:spacing w:after="0" w:line="236" w:lineRule="auto"/>
        <w:tabs>
          <w:tab w:leader="none" w:pos="25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Termination” shall mean the date on which the Executive incurs a “separation from service” within the meaning of Section 409A of the Code.</w:t>
      </w:r>
    </w:p>
    <w:p>
      <w:pPr>
        <w:spacing w:after="0" w:line="150" w:lineRule="exact"/>
        <w:rPr>
          <w:rFonts w:ascii="Times New Roman" w:cs="Times New Roman" w:eastAsia="Times New Roman" w:hAnsi="Times New Roman"/>
          <w:sz w:val="22"/>
          <w:szCs w:val="22"/>
          <w:color w:val="auto"/>
        </w:rPr>
      </w:pPr>
    </w:p>
    <w:p>
      <w:pPr>
        <w:ind w:left="1300" w:firstLine="652"/>
        <w:spacing w:after="0" w:line="217" w:lineRule="auto"/>
        <w:tabs>
          <w:tab w:leader="none" w:pos="25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2" w:lineRule="exact"/>
        <w:rPr>
          <w:rFonts w:ascii="Times New Roman" w:cs="Times New Roman" w:eastAsia="Times New Roman" w:hAnsi="Times New Roman"/>
          <w:sz w:val="22"/>
          <w:szCs w:val="22"/>
          <w:color w:val="auto"/>
        </w:rPr>
      </w:pPr>
    </w:p>
    <w:p>
      <w:pPr>
        <w:ind w:left="1300" w:right="800" w:firstLine="652"/>
        <w:spacing w:after="0" w:line="236" w:lineRule="auto"/>
        <w:tabs>
          <w:tab w:leader="none" w:pos="258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shall mean the occurrence of any one or more of the following without the Executive’s express written consent:</w:t>
      </w:r>
    </w:p>
    <w:p>
      <w:pPr>
        <w:spacing w:after="0" w:line="150" w:lineRule="exact"/>
        <w:rPr>
          <w:sz w:val="20"/>
          <w:szCs w:val="20"/>
          <w:color w:val="auto"/>
        </w:rPr>
      </w:pPr>
    </w:p>
    <w:p>
      <w:pPr>
        <w:ind w:left="2600" w:right="300" w:hanging="648"/>
        <w:spacing w:after="0" w:line="236" w:lineRule="auto"/>
        <w:tabs>
          <w:tab w:leader="none" w:pos="25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or Company changes the Executive’s title or material job duties such that it results in material diminution in Executive’s authority, duties, or responsibilities; or</w:t>
      </w:r>
    </w:p>
    <w:p>
      <w:pPr>
        <w:spacing w:after="0" w:line="150" w:lineRule="exact"/>
        <w:rPr>
          <w:rFonts w:ascii="Times New Roman" w:cs="Times New Roman" w:eastAsia="Times New Roman" w:hAnsi="Times New Roman"/>
          <w:sz w:val="22"/>
          <w:szCs w:val="22"/>
          <w:color w:val="auto"/>
        </w:rPr>
      </w:pPr>
    </w:p>
    <w:p>
      <w:pPr>
        <w:ind w:left="2600" w:right="100" w:hanging="648"/>
        <w:spacing w:after="0" w:line="236" w:lineRule="auto"/>
        <w:tabs>
          <w:tab w:leader="none" w:pos="259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or Company materially reduces the amount of the Executive’s then current Base Salary or the target opportunity for her annual incentive award; or</w:t>
      </w:r>
    </w:p>
    <w:p>
      <w:pPr>
        <w:spacing w:after="0" w:line="150" w:lineRule="exact"/>
        <w:rPr>
          <w:rFonts w:ascii="Times New Roman" w:cs="Times New Roman" w:eastAsia="Times New Roman" w:hAnsi="Times New Roman"/>
          <w:sz w:val="22"/>
          <w:szCs w:val="22"/>
          <w:color w:val="auto"/>
        </w:rPr>
      </w:pPr>
    </w:p>
    <w:p>
      <w:pPr>
        <w:ind w:left="2600" w:right="100" w:hanging="648"/>
        <w:spacing w:after="0" w:line="220" w:lineRule="auto"/>
        <w:tabs>
          <w:tab w:leader="none" w:pos="25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or Company requires the Executive to be permanently based at a location in excess of fifty (50) miles from the location of (x) the Executive’s principal job location or (y) if Executive is working-from-home under a Company-approved arrangement, the Executive’s primary residence; or</w:t>
      </w:r>
    </w:p>
    <w:p>
      <w:pPr>
        <w:spacing w:after="0" w:line="152" w:lineRule="exact"/>
        <w:rPr>
          <w:rFonts w:ascii="Times New Roman" w:cs="Times New Roman" w:eastAsia="Times New Roman" w:hAnsi="Times New Roman"/>
          <w:sz w:val="22"/>
          <w:szCs w:val="22"/>
          <w:color w:val="auto"/>
        </w:rPr>
      </w:pPr>
    </w:p>
    <w:p>
      <w:pPr>
        <w:jc w:val="both"/>
        <w:ind w:left="2600" w:right="100" w:hanging="648"/>
        <w:spacing w:after="0" w:line="225" w:lineRule="auto"/>
        <w:tabs>
          <w:tab w:leader="none" w:pos="257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2" w:lineRule="exact"/>
        <w:rPr>
          <w:rFonts w:ascii="Times New Roman" w:cs="Times New Roman" w:eastAsia="Times New Roman" w:hAnsi="Times New Roman"/>
          <w:sz w:val="22"/>
          <w:szCs w:val="22"/>
          <w:color w:val="auto"/>
        </w:rPr>
      </w:pPr>
    </w:p>
    <w:p>
      <w:pPr>
        <w:ind w:left="2600" w:right="60" w:hanging="648"/>
        <w:spacing w:after="0" w:line="236" w:lineRule="auto"/>
        <w:tabs>
          <w:tab w:leader="none" w:pos="258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provides the Executive with a notice of non-renewal in accordance with the terms of Article 2 of this Agreement; or</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71" w:lineRule="exact"/>
        <w:rPr>
          <w:sz w:val="20"/>
          <w:szCs w:val="20"/>
          <w:color w:val="auto"/>
        </w:rPr>
      </w:pPr>
    </w:p>
    <w:p>
      <w:pPr>
        <w:ind w:left="2600" w:right="120" w:hanging="648"/>
        <w:spacing w:after="0" w:line="236" w:lineRule="auto"/>
        <w:tabs>
          <w:tab w:leader="none" w:pos="25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or inaction by the Company that constitutes a material breach by the Company of the terms and conditions of this Agreement.</w:t>
      </w:r>
    </w:p>
    <w:p>
      <w:pPr>
        <w:spacing w:after="0" w:line="1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 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her employment within ninety (90) days after the Executive first becomes aware of the initial occurrence, event or events that are the basis for such claim.</w:t>
      </w:r>
    </w:p>
    <w:p>
      <w:pPr>
        <w:spacing w:after="0" w:line="153" w:lineRule="exact"/>
        <w:rPr>
          <w:sz w:val="20"/>
          <w:szCs w:val="20"/>
          <w:color w:val="auto"/>
        </w:rPr>
      </w:pPr>
    </w:p>
    <w:p>
      <w:pPr>
        <w:ind w:left="2580" w:hanging="628"/>
        <w:spacing w:after="0"/>
        <w:tabs>
          <w:tab w:leader="none" w:pos="258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mean Caesars Entertainment, Inc.</w:t>
      </w:r>
    </w:p>
    <w:p>
      <w:pPr>
        <w:spacing w:after="0" w:line="179" w:lineRule="exact"/>
        <w:rPr>
          <w:rFonts w:ascii="Times New Roman" w:cs="Times New Roman" w:eastAsia="Times New Roman" w:hAnsi="Times New Roman"/>
          <w:sz w:val="22"/>
          <w:szCs w:val="22"/>
          <w:color w:val="auto"/>
        </w:rPr>
      </w:pPr>
    </w:p>
    <w:p>
      <w:pPr>
        <w:ind w:left="1300" w:right="880" w:firstLine="652"/>
        <w:spacing w:after="0" w:line="255" w:lineRule="auto"/>
        <w:tabs>
          <w:tab w:leader="none" w:pos="2591"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 shall mean any individual, corporation, partnership, association, limited liability company, joint-stock company, trust, unincorporated organization, government or political subdivision.</w:t>
      </w:r>
    </w:p>
    <w:p>
      <w:pPr>
        <w:spacing w:after="0" w:line="133"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 Rata” shall equal the product of (A) and (B), where (A) is the applicable incentive amount and</w:t>
      </w:r>
    </w:p>
    <w:p>
      <w:pPr>
        <w:ind w:left="1300" w:firstLine="4"/>
        <w:spacing w:after="0" w:line="214" w:lineRule="auto"/>
        <w:tabs>
          <w:tab w:leader="none" w:pos="164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3" w:lineRule="exact"/>
        <w:rPr>
          <w:rFonts w:ascii="Times New Roman" w:cs="Times New Roman" w:eastAsia="Times New Roman" w:hAnsi="Times New Roman"/>
          <w:sz w:val="22"/>
          <w:szCs w:val="22"/>
          <w:color w:val="auto"/>
        </w:rPr>
      </w:pPr>
    </w:p>
    <w:p>
      <w:pPr>
        <w:ind w:left="1300" w:right="20" w:firstLine="652"/>
        <w:spacing w:after="0" w:line="210" w:lineRule="auto"/>
        <w:tabs>
          <w:tab w:leader="none" w:pos="258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57" w:lineRule="exact"/>
        <w:rPr>
          <w:rFonts w:ascii="Times New Roman" w:cs="Times New Roman" w:eastAsia="Times New Roman" w:hAnsi="Times New Roman"/>
          <w:sz w:val="22"/>
          <w:szCs w:val="22"/>
          <w:color w:val="auto"/>
        </w:rPr>
      </w:pPr>
    </w:p>
    <w:p>
      <w:pPr>
        <w:ind w:left="1300" w:right="340" w:firstLine="652"/>
        <w:spacing w:after="0" w:line="236" w:lineRule="auto"/>
        <w:tabs>
          <w:tab w:leader="none" w:pos="259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means a general release of claims against the Parent and its Subsidiaries and affiliates (including the Company), in substantially the form attached hereto as Exhibit A.</w:t>
      </w:r>
    </w:p>
    <w:p>
      <w:pPr>
        <w:spacing w:after="0" w:line="150" w:lineRule="exact"/>
        <w:rPr>
          <w:rFonts w:ascii="Times New Roman" w:cs="Times New Roman" w:eastAsia="Times New Roman" w:hAnsi="Times New Roman"/>
          <w:sz w:val="22"/>
          <w:szCs w:val="22"/>
          <w:color w:val="auto"/>
        </w:rPr>
      </w:pPr>
    </w:p>
    <w:p>
      <w:pPr>
        <w:ind w:left="1300" w:right="420" w:firstLine="652"/>
        <w:spacing w:after="0" w:line="220" w:lineRule="auto"/>
        <w:tabs>
          <w:tab w:leader="none" w:pos="259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w:t>
      </w:r>
    </w:p>
    <w:p>
      <w:pPr>
        <w:sectPr>
          <w:pgSz w:w="11900" w:h="16838" w:orient="portrait"/>
          <w:cols w:equalWidth="0" w:num="1">
            <w:col w:w="11240"/>
          </w:cols>
          <w:pgMar w:left="320" w:top="1440" w:right="339" w:bottom="1440" w:gutter="0" w:footer="0" w:header="0"/>
        </w:sectPr>
      </w:pPr>
    </w:p>
    <w:bookmarkStart w:id="205" w:name="page206"/>
    <w:bookmarkEnd w:id="205"/>
    <w:p>
      <w:pPr>
        <w:ind w:left="1300" w:right="20"/>
        <w:spacing w:after="0" w:line="220" w:lineRule="auto"/>
        <w:rPr>
          <w:sz w:val="20"/>
          <w:szCs w:val="20"/>
          <w:color w:val="auto"/>
        </w:rPr>
      </w:pPr>
      <w:r>
        <w:rPr>
          <w:rFonts w:ascii="Times New Roman" w:cs="Times New Roman" w:eastAsia="Times New Roman" w:hAnsi="Times New Roman"/>
          <w:sz w:val="22"/>
          <w:szCs w:val="22"/>
          <w:color w:val="auto"/>
        </w:rPr>
        <w:t>(50%)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2" w:lineRule="exact"/>
        <w:rPr>
          <w:sz w:val="20"/>
          <w:szCs w:val="20"/>
          <w:color w:val="auto"/>
        </w:rPr>
      </w:pPr>
    </w:p>
    <w:p>
      <w:pPr>
        <w:ind w:left="1300" w:right="20" w:firstLine="652"/>
        <w:spacing w:after="0" w:line="236" w:lineRule="auto"/>
        <w:tabs>
          <w:tab w:leader="none" w:pos="25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of Employment” shall mean the period specified in Article 2 below (including any extension as provided therein).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u w:val="single" w:color="auto"/>
          <w:color w:val="auto"/>
        </w:rPr>
        <w:t>Term of Employment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Term of Employment shall begin on the Effective Date, and shall extend until January 1, 2025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10.</w:t>
      </w:r>
    </w:p>
    <w:p>
      <w:pPr>
        <w:spacing w:after="0" w:line="16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u w:val="single" w:color="auto"/>
          <w:color w:val="auto"/>
        </w:rPr>
        <w:t>Position, Duties, and Responsibilities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right="40" w:firstLine="652"/>
        <w:spacing w:after="0" w:line="209" w:lineRule="auto"/>
        <w:tabs>
          <w:tab w:leader="none" w:pos="25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the Executive shall serve as Chief Administrative Officer of the Parent and all other direct or indirect operating subsidiaries of the Parent, including the Company, and shall perform such duties consistent with her position as may be assigned to her from time to time by the Chief Executive Officer of the Parent or the Board. At the Parent’s request, the Executive shall serve the Parent, the Company, and/or its Subsidiaries and affiliates in other capacities in addition to the foregoing, consistent with the Executive’s position as Chief Administrative Officer.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her employment with the Company, the Executive shall devote substantially all of her business time and attention to the business and affairs of the Parent and the Company, as applicable, and shall use her best efforts, skills and abilities to promote its interests.</w:t>
      </w:r>
    </w:p>
    <w:p>
      <w:pPr>
        <w:spacing w:after="0" w:line="155" w:lineRule="exact"/>
        <w:rPr>
          <w:rFonts w:ascii="Times New Roman" w:cs="Times New Roman" w:eastAsia="Times New Roman" w:hAnsi="Times New Roman"/>
          <w:sz w:val="22"/>
          <w:szCs w:val="22"/>
          <w:color w:val="auto"/>
        </w:rPr>
      </w:pPr>
    </w:p>
    <w:p>
      <w:pPr>
        <w:ind w:left="1300" w:firstLine="652"/>
        <w:spacing w:after="0" w:line="213" w:lineRule="auto"/>
        <w:tabs>
          <w:tab w:leader="none" w:pos="25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permitted to serve on corporate boards with the Chief Executive Officer’s or Compensation Committee’s advance consent, which shall not be unreasonably withheld. In addition, the Executive may engage in religious, charitable or other community activities as long as such services and activities are disclosed to the Chief Executive Officer or the Compensation Committee and do not individually or in the aggregate interfere with the Executive’s performance of her duties to the Parent and the Company; provided, that if the Executive serves on a board, committee or similar body of any such religious, charitable or community organization or if the Executive engages in teaching,</w:t>
      </w:r>
    </w:p>
    <w:p>
      <w:pPr>
        <w:sectPr>
          <w:pgSz w:w="11900" w:h="16838" w:orient="portrait"/>
          <w:cols w:equalWidth="0" w:num="1">
            <w:col w:w="11220"/>
          </w:cols>
          <w:pgMar w:left="320" w:top="1395" w:right="359" w:bottom="1440" w:gutter="0" w:footer="0" w:header="0"/>
        </w:sectPr>
      </w:pPr>
    </w:p>
    <w:bookmarkStart w:id="206" w:name="page207"/>
    <w:bookmarkEnd w:id="206"/>
    <w:p>
      <w:pPr>
        <w:ind w:left="1300" w:right="600"/>
        <w:spacing w:after="0" w:line="236" w:lineRule="auto"/>
        <w:rPr>
          <w:sz w:val="20"/>
          <w:szCs w:val="20"/>
          <w:color w:val="auto"/>
        </w:rPr>
      </w:pPr>
      <w:r>
        <w:rPr>
          <w:rFonts w:ascii="Times New Roman" w:cs="Times New Roman" w:eastAsia="Times New Roman" w:hAnsi="Times New Roman"/>
          <w:sz w:val="22"/>
          <w:szCs w:val="22"/>
          <w:color w:val="auto"/>
        </w:rPr>
        <w:t>speaking or writing engagements in connection with such activities, the Executive will receive prior written approval from the Chief Executive Officer or the Compensation Committee.</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Effective as of January 1, 2022, the Executive shall be paid an annualized Base Salary, payable in accordance with the regular payroll practices of the Company, of not less than seven hundred thousand dollars ($700,000). The Base Salary shall be reviewed annually for increase in the discretion of the Compensation Committee.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u w:val="single" w:color="auto"/>
          <w:color w:val="auto"/>
        </w:rPr>
        <w:t>Annual Incentive Award</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During the Term of Employment, the Executive shall be eligible for an annual incentive award with payout opportunities that are commensurate with her position and duties, as determined by the Compensation Committee in its discretion. Effective as of January 1, 2022, the Executive’s target annual incentive award opportunity will be equal to one hundred percent (100%) of the Executive’s Base Salary (“Target Bonus”). The Executive’s annual incentive award opportunities shall be based on Parent, Company and individual performance goals determined, and subject to change, by the Compensation Committee in its discretion. The Executive shall be paid her annual incentive award no later than other senior executives of the Company are paid their annual incentive award.</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u w:val="single" w:color="auto"/>
          <w:color w:val="auto"/>
        </w:rPr>
        <w:t>Long-Term Incentive Awards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The Executive shall be eligible to participate in the Parent’s long-term incentive plan on terms commensurate with her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two hundred percent (200%) of the Executive’s Base Salary.</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u w:val="single" w:color="auto"/>
          <w:color w:val="auto"/>
        </w:rPr>
        <w:t>Employee Benefit Programs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During the Term of Employment, the Executive shall be eligible to participate in any employee benefit plans and programs made available to the Company’s senior-level executives generally, subject to Article 10(f)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ectPr>
          <w:pgSz w:w="11900" w:h="16838" w:orient="portrait"/>
          <w:cols w:equalWidth="0" w:num="1">
            <w:col w:w="11200"/>
          </w:cols>
          <w:pgMar w:left="320" w:top="1395" w:right="379" w:bottom="1440" w:gutter="0" w:footer="0" w:header="0"/>
        </w:sectPr>
      </w:pPr>
    </w:p>
    <w:bookmarkStart w:id="207" w:name="page208"/>
    <w:bookmarkEnd w:id="207"/>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u w:val="single" w:color="auto"/>
          <w:color w:val="auto"/>
        </w:rPr>
        <w:t>Reimbursement of Business and Other Expenses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500" w:firstLine="648"/>
        <w:spacing w:after="0" w:line="257" w:lineRule="auto"/>
        <w:rPr>
          <w:sz w:val="20"/>
          <w:szCs w:val="20"/>
          <w:color w:val="auto"/>
        </w:rPr>
      </w:pPr>
      <w:r>
        <w:rPr>
          <w:rFonts w:ascii="Times New Roman" w:cs="Times New Roman" w:eastAsia="Times New Roman" w:hAnsi="Times New Roman"/>
          <w:sz w:val="22"/>
          <w:szCs w:val="22"/>
          <w:color w:val="auto"/>
        </w:rPr>
        <w:t>The Executive is authorized to incur reasonable expenses in carrying out her duties and responsibilities under this Agreement and the Company shall promptly reimburse her for all reasonable business expenses incurred in connection with carrying out the business of the Company, subject to documentation in accordance with the Company’s policy.</w:t>
      </w:r>
    </w:p>
    <w:p>
      <w:pPr>
        <w:spacing w:after="0" w:line="18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u w:val="single" w:color="auto"/>
          <w:color w:val="auto"/>
        </w:rPr>
        <w:t>Signing Bonus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Pursuant to the Prior Agreement, the Executive received a one-time special signing bonus in an amount equal to one million dollars ($1,000,000) (the “Signing Bonus”). If Executive’s employment with the Company terminates due to Executive’s resignation without Good Reason or by the Company for Cause, prior to the end of the Initial Term, the Executive agrees to repay a pro rata portion of the Signing Bonus to the Company, which shall be calculated based on the number of full calendar months remaining in the Initial Term, divided by thirty-six (36) months (without reduction for any federal, state or local income and employment tax liability paid by the Executive).</w:t>
      </w:r>
    </w:p>
    <w:p>
      <w:pPr>
        <w:spacing w:after="0" w:line="15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right="260" w:firstLine="652"/>
        <w:spacing w:after="0" w:line="236" w:lineRule="auto"/>
        <w:tabs>
          <w:tab w:leader="none" w:pos="259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In the event that the Executive’s employment is terminated due to her death, her estate or her beneficiaries, as the case may be, shall be entitled to the following benefits:</w:t>
      </w:r>
    </w:p>
    <w:p>
      <w:pPr>
        <w:spacing w:after="0" w:line="150" w:lineRule="exact"/>
        <w:rPr>
          <w:sz w:val="20"/>
          <w:szCs w:val="20"/>
          <w:color w:val="auto"/>
        </w:rPr>
      </w:pPr>
    </w:p>
    <w:p>
      <w:pPr>
        <w:ind w:left="2600" w:right="280" w:hanging="648"/>
        <w:spacing w:after="0" w:line="220" w:lineRule="auto"/>
        <w:tabs>
          <w:tab w:leader="none" w:pos="259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52" w:lineRule="exact"/>
        <w:rPr>
          <w:rFonts w:ascii="Times New Roman" w:cs="Times New Roman" w:eastAsia="Times New Roman" w:hAnsi="Times New Roman"/>
          <w:sz w:val="22"/>
          <w:szCs w:val="22"/>
          <w:color w:val="auto"/>
        </w:rPr>
      </w:pPr>
    </w:p>
    <w:p>
      <w:pPr>
        <w:ind w:left="2600" w:right="300" w:hanging="648"/>
        <w:spacing w:after="0" w:line="227" w:lineRule="auto"/>
        <w:tabs>
          <w:tab w:leader="none" w:pos="259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54" w:lineRule="exact"/>
        <w:rPr>
          <w:sz w:val="20"/>
          <w:szCs w:val="20"/>
          <w:color w:val="auto"/>
        </w:rPr>
      </w:pPr>
    </w:p>
    <w:p>
      <w:pPr>
        <w:ind w:left="1300" w:right="240" w:firstLine="652"/>
        <w:spacing w:after="0" w:line="236" w:lineRule="auto"/>
        <w:tabs>
          <w:tab w:leader="none" w:pos="25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In the event that the Executive’s employment is terminated due to her Disability, and conditioned upon, no later than</w:t>
      </w:r>
    </w:p>
    <w:p>
      <w:pPr>
        <w:sectPr>
          <w:pgSz w:w="11900" w:h="16838" w:orient="portrait"/>
          <w:cols w:equalWidth="0" w:num="1">
            <w:col w:w="11220"/>
          </w:cols>
          <w:pgMar w:left="320" w:top="1391" w:right="359" w:bottom="1440" w:gutter="0" w:footer="0" w:header="0"/>
        </w:sectPr>
      </w:pPr>
    </w:p>
    <w:bookmarkStart w:id="208" w:name="page209"/>
    <w:bookmarkEnd w:id="208"/>
    <w:p>
      <w:pPr>
        <w:ind w:left="1300" w:right="160"/>
        <w:spacing w:after="0" w:line="220" w:lineRule="auto"/>
        <w:rPr>
          <w:sz w:val="20"/>
          <w:szCs w:val="20"/>
          <w:color w:val="auto"/>
        </w:rPr>
      </w:pPr>
      <w:r>
        <w:rPr>
          <w:rFonts w:ascii="Times New Roman" w:cs="Times New Roman" w:eastAsia="Times New Roman" w:hAnsi="Times New Roman"/>
          <w:sz w:val="22"/>
          <w:szCs w:val="22"/>
          <w:color w:val="auto"/>
        </w:rPr>
        <w:t>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11 through 15, she shall be entitled to the following benefits:</w:t>
      </w:r>
    </w:p>
    <w:p>
      <w:pPr>
        <w:spacing w:after="0" w:line="152" w:lineRule="exact"/>
        <w:rPr>
          <w:sz w:val="20"/>
          <w:szCs w:val="20"/>
          <w:color w:val="auto"/>
        </w:rPr>
      </w:pPr>
    </w:p>
    <w:p>
      <w:pPr>
        <w:ind w:left="2600" w:hanging="648"/>
        <w:spacing w:after="0"/>
        <w:tabs>
          <w:tab w:leader="none" w:pos="26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Rights Payment;</w:t>
      </w:r>
    </w:p>
    <w:p>
      <w:pPr>
        <w:spacing w:after="0" w:line="179" w:lineRule="exact"/>
        <w:rPr>
          <w:rFonts w:ascii="Times New Roman" w:cs="Times New Roman" w:eastAsia="Times New Roman" w:hAnsi="Times New Roman"/>
          <w:sz w:val="22"/>
          <w:szCs w:val="22"/>
          <w:color w:val="auto"/>
        </w:rPr>
      </w:pPr>
    </w:p>
    <w:p>
      <w:pPr>
        <w:ind w:left="2600" w:right="260" w:hanging="648"/>
        <w:spacing w:after="0" w:line="225" w:lineRule="auto"/>
        <w:tabs>
          <w:tab w:leader="none" w:pos="259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2" w:lineRule="exact"/>
        <w:rPr>
          <w:rFonts w:ascii="Times New Roman" w:cs="Times New Roman" w:eastAsia="Times New Roman" w:hAnsi="Times New Roman"/>
          <w:sz w:val="22"/>
          <w:szCs w:val="22"/>
          <w:color w:val="auto"/>
        </w:rPr>
      </w:pPr>
    </w:p>
    <w:p>
      <w:pPr>
        <w:ind w:left="2600" w:hanging="648"/>
        <w:spacing w:after="0" w:line="212" w:lineRule="auto"/>
        <w:tabs>
          <w:tab w:leader="none" w:pos="25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“COBRA Payment”). The Executive shall not be required to purchase COBRA continuation coverage in order to receive the COBRA Payment, nor shall the Executive be required to apply the COBRA Payment towards any payment of applicable premiums for COBRA continuation coverage.</w:t>
      </w:r>
    </w:p>
    <w:p>
      <w:pPr>
        <w:spacing w:after="0" w:line="183"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In no event shall a termination of the Executive’s employment due to Disability occur until the Party terminating the Executive’s employment gives written notice to the other Party in accordance with Article 25 below.</w:t>
      </w:r>
    </w:p>
    <w:p>
      <w:pPr>
        <w:spacing w:after="0" w:line="131" w:lineRule="exact"/>
        <w:rPr>
          <w:sz w:val="20"/>
          <w:szCs w:val="20"/>
          <w:color w:val="auto"/>
        </w:rPr>
      </w:pPr>
    </w:p>
    <w:p>
      <w:pPr>
        <w:ind w:left="1300" w:right="520" w:firstLine="652"/>
        <w:spacing w:after="0" w:line="236" w:lineRule="auto"/>
        <w:tabs>
          <w:tab w:leader="none" w:pos="259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In the event the Company terminates the Executive’s employment for Cause, she shall be entitled to the Accrued Rights Payment.</w:t>
      </w:r>
    </w:p>
    <w:p>
      <w:pPr>
        <w:spacing w:after="0" w:line="150" w:lineRule="exact"/>
        <w:rPr>
          <w:rFonts w:ascii="Times New Roman" w:cs="Times New Roman" w:eastAsia="Times New Roman" w:hAnsi="Times New Roman"/>
          <w:sz w:val="22"/>
          <w:szCs w:val="22"/>
          <w:color w:val="auto"/>
        </w:rPr>
      </w:pPr>
    </w:p>
    <w:p>
      <w:pPr>
        <w:ind w:left="1300" w:right="60" w:firstLine="652"/>
        <w:spacing w:after="0" w:line="211" w:lineRule="auto"/>
        <w:tabs>
          <w:tab w:leader="none" w:pos="25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without Cause or Termination by the Executive for Good Reason outside of a Change in Control</w:t>
      </w:r>
      <w:r>
        <w:rPr>
          <w:rFonts w:ascii="Times New Roman" w:cs="Times New Roman" w:eastAsia="Times New Roman" w:hAnsi="Times New Roman"/>
          <w:sz w:val="22"/>
          <w:szCs w:val="22"/>
          <w:color w:val="auto"/>
        </w:rPr>
        <w:t>. In the event the Executive’s employment is terminated by the Company without Cause (i.e., on a basis other than specified in Article 10(a), 10(b) or 10(c),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8" w:lineRule="exact"/>
        <w:rPr>
          <w:sz w:val="20"/>
          <w:szCs w:val="20"/>
          <w:color w:val="auto"/>
        </w:rPr>
      </w:pPr>
    </w:p>
    <w:p>
      <w:pPr>
        <w:ind w:left="2600" w:hanging="648"/>
        <w:spacing w:after="0"/>
        <w:tabs>
          <w:tab w:leader="none" w:pos="26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Rights Payment;</w:t>
      </w:r>
    </w:p>
    <w:p>
      <w:pPr>
        <w:spacing w:after="0" w:line="179" w:lineRule="exact"/>
        <w:rPr>
          <w:rFonts w:ascii="Times New Roman" w:cs="Times New Roman" w:eastAsia="Times New Roman" w:hAnsi="Times New Roman"/>
          <w:sz w:val="22"/>
          <w:szCs w:val="22"/>
          <w:color w:val="auto"/>
        </w:rPr>
      </w:pPr>
    </w:p>
    <w:p>
      <w:pPr>
        <w:ind w:left="2600" w:right="80" w:hanging="648"/>
        <w:spacing w:after="0" w:line="236" w:lineRule="auto"/>
        <w:tabs>
          <w:tab w:leader="none" w:pos="259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amount paid on the sixtieth (60th) day following the Date of Termination equal to one (1.0) times the sum of (A) the</w:t>
      </w:r>
    </w:p>
    <w:p>
      <w:pPr>
        <w:sectPr>
          <w:pgSz w:w="11900" w:h="16838" w:orient="portrait"/>
          <w:cols w:equalWidth="0" w:num="1">
            <w:col w:w="11220"/>
          </w:cols>
          <w:pgMar w:left="320" w:top="1395" w:right="359" w:bottom="1440" w:gutter="0" w:footer="0" w:header="0"/>
        </w:sectPr>
      </w:pPr>
    </w:p>
    <w:bookmarkStart w:id="209" w:name="page210"/>
    <w:bookmarkEnd w:id="209"/>
    <w:p>
      <w:pPr>
        <w:spacing w:after="0" w:line="171" w:lineRule="exact"/>
        <w:rPr>
          <w:sz w:val="20"/>
          <w:szCs w:val="20"/>
          <w:color w:val="auto"/>
        </w:rPr>
      </w:pPr>
    </w:p>
    <w:p>
      <w:pPr>
        <w:ind w:left="1480" w:right="280"/>
        <w:spacing w:after="0" w:line="236" w:lineRule="auto"/>
        <w:rPr>
          <w:sz w:val="20"/>
          <w:szCs w:val="20"/>
          <w:color w:val="auto"/>
        </w:rPr>
      </w:pPr>
      <w:r>
        <w:rPr>
          <w:rFonts w:ascii="Times New Roman" w:cs="Times New Roman" w:eastAsia="Times New Roman" w:hAnsi="Times New Roman"/>
          <w:sz w:val="22"/>
          <w:szCs w:val="22"/>
          <w:color w:val="auto"/>
        </w:rPr>
        <w:t>Executive’s Base Salary and (B) the Target Bonus for the calendar year that includes the Date of Termination;</w:t>
      </w:r>
    </w:p>
    <w:p>
      <w:pPr>
        <w:spacing w:after="0" w:line="150" w:lineRule="exact"/>
        <w:rPr>
          <w:sz w:val="20"/>
          <w:szCs w:val="20"/>
          <w:color w:val="auto"/>
        </w:rPr>
      </w:pPr>
    </w:p>
    <w:p>
      <w:pPr>
        <w:ind w:left="1480" w:right="140" w:hanging="648"/>
        <w:spacing w:after="0" w:line="215" w:lineRule="auto"/>
        <w:tabs>
          <w:tab w:leader="none" w:pos="147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2" w:lineRule="exact"/>
        <w:rPr>
          <w:rFonts w:ascii="Times New Roman" w:cs="Times New Roman" w:eastAsia="Times New Roman" w:hAnsi="Times New Roman"/>
          <w:sz w:val="22"/>
          <w:szCs w:val="22"/>
          <w:color w:val="auto"/>
        </w:rPr>
      </w:pPr>
    </w:p>
    <w:p>
      <w:pPr>
        <w:jc w:val="both"/>
        <w:ind w:left="1480" w:hanging="648"/>
        <w:spacing w:after="0" w:line="231" w:lineRule="auto"/>
        <w:tabs>
          <w:tab w:leader="none" w:pos="145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50" w:lineRule="exact"/>
        <w:rPr>
          <w:rFonts w:ascii="Times New Roman" w:cs="Times New Roman" w:eastAsia="Times New Roman" w:hAnsi="Times New Roman"/>
          <w:sz w:val="21"/>
          <w:szCs w:val="21"/>
          <w:color w:val="auto"/>
        </w:rPr>
      </w:pPr>
    </w:p>
    <w:p>
      <w:pPr>
        <w:ind w:left="1480" w:right="60" w:hanging="648"/>
        <w:spacing w:after="0" w:line="215" w:lineRule="auto"/>
        <w:tabs>
          <w:tab w:leader="none" w:pos="146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assist the Executive in finding other employment opportunities by providing to her, at the Company’s limited expense, reasonable professional outplacement services through the provider of the Company’s choice. Such outplacement services shall terminate when the Executive finds other employment. However, in no event shall such outplacement services continue for more than twelve (12) months following the Date of Termination or exceed more than $10,000 in the aggregate.</w:t>
      </w:r>
    </w:p>
    <w:p>
      <w:pPr>
        <w:spacing w:after="0" w:line="152" w:lineRule="exact"/>
        <w:rPr>
          <w:sz w:val="20"/>
          <w:szCs w:val="20"/>
          <w:color w:val="auto"/>
        </w:rPr>
      </w:pPr>
    </w:p>
    <w:p>
      <w:pPr>
        <w:ind w:left="180" w:right="20" w:firstLine="652"/>
        <w:spacing w:after="0" w:line="222" w:lineRule="auto"/>
        <w:tabs>
          <w:tab w:leader="none" w:pos="147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Company without Cause or Termination by the Executive for Good Reason in Connection with a Change in Control</w:t>
      </w:r>
      <w:r>
        <w:rPr>
          <w:rFonts w:ascii="Times New Roman" w:cs="Times New Roman" w:eastAsia="Times New Roman" w:hAnsi="Times New Roman"/>
          <w:sz w:val="21"/>
          <w:szCs w:val="21"/>
          <w:color w:val="auto"/>
        </w:rPr>
        <w:t>. If, during the two (2) year period beginning on the date of a Change in Control, the Executive’s employment is terminated by the Company without Cause (i.e., on a basis other than specified in Article 10(a), 10(b) or 10(c)), or the Executive’s employment is 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7" w:lineRule="exact"/>
        <w:rPr>
          <w:sz w:val="20"/>
          <w:szCs w:val="20"/>
          <w:color w:val="auto"/>
        </w:rPr>
      </w:pPr>
    </w:p>
    <w:p>
      <w:pPr>
        <w:ind w:left="1480" w:hanging="648"/>
        <w:spacing w:after="0"/>
        <w:tabs>
          <w:tab w:leader="none" w:pos="14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Rights Payment;</w:t>
      </w:r>
    </w:p>
    <w:p>
      <w:pPr>
        <w:spacing w:after="0" w:line="179" w:lineRule="exact"/>
        <w:rPr>
          <w:rFonts w:ascii="Times New Roman" w:cs="Times New Roman" w:eastAsia="Times New Roman" w:hAnsi="Times New Roman"/>
          <w:sz w:val="22"/>
          <w:szCs w:val="22"/>
          <w:color w:val="auto"/>
        </w:rPr>
      </w:pPr>
    </w:p>
    <w:p>
      <w:pPr>
        <w:ind w:left="1480" w:right="80" w:hanging="648"/>
        <w:spacing w:after="0" w:line="217" w:lineRule="auto"/>
        <w:tabs>
          <w:tab w:leader="none" w:pos="147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paid on the sixtieth (60th) day following the Date of Termination, equal to two (2.0)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2" w:lineRule="exact"/>
        <w:rPr>
          <w:rFonts w:ascii="Times New Roman" w:cs="Times New Roman" w:eastAsia="Times New Roman" w:hAnsi="Times New Roman"/>
          <w:sz w:val="22"/>
          <w:szCs w:val="22"/>
          <w:color w:val="auto"/>
        </w:rPr>
      </w:pPr>
    </w:p>
    <w:p>
      <w:pPr>
        <w:ind w:left="1480" w:right="100" w:hanging="648"/>
        <w:spacing w:after="0" w:line="220" w:lineRule="auto"/>
        <w:tabs>
          <w:tab w:leader="none" w:pos="14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ectPr>
          <w:pgSz w:w="11900" w:h="16838" w:orient="portrait"/>
          <w:cols w:equalWidth="0" w:num="1">
            <w:col w:w="10080"/>
          </w:cols>
          <w:pgMar w:left="1440" w:top="1440" w:right="379" w:bottom="1440" w:gutter="0" w:footer="0" w:header="0"/>
        </w:sectPr>
      </w:pPr>
    </w:p>
    <w:bookmarkStart w:id="210" w:name="page211"/>
    <w:bookmarkEnd w:id="210"/>
    <w:p>
      <w:pPr>
        <w:spacing w:after="0" w:line="171" w:lineRule="exact"/>
        <w:rPr>
          <w:sz w:val="20"/>
          <w:szCs w:val="20"/>
          <w:color w:val="auto"/>
        </w:rPr>
      </w:pPr>
    </w:p>
    <w:p>
      <w:pPr>
        <w:ind w:left="1480" w:hanging="648"/>
        <w:spacing w:after="0" w:line="211" w:lineRule="auto"/>
        <w:tabs>
          <w:tab w:leader="none" w:pos="145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amount, paid on the sixtieth (60th) day following the Date of Termination, equal to the total premiums the Executive would be required to pay for eighteen (18)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80" w:right="60" w:firstLine="652"/>
        <w:spacing w:after="0" w:line="217" w:lineRule="auto"/>
        <w:tabs>
          <w:tab w:leader="none" w:pos="147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of Legal Fees</w:t>
      </w:r>
      <w:r>
        <w:rPr>
          <w:rFonts w:ascii="Times New Roman" w:cs="Times New Roman" w:eastAsia="Times New Roman" w:hAnsi="Times New Roman"/>
          <w:sz w:val="21"/>
          <w:szCs w:val="21"/>
          <w:color w:val="auto"/>
        </w:rPr>
        <w:t>. Effective only upon a Change in Control, it is the intent of the Company that the Executive not be required to incur the expenses associated with the enforcement of her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 obligations under this Agreement which arose upon or following a Change in Control or in the event that the Company or any other person takes any action to declare this Agreement void or unenforceable, or institutes any litigation designed to deny, or to recover from, the Executive the benefits intended to be provided to the Executive hereunder, the Company irrevocably authorizes the Executive from time to time to retain counsel of her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 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164" w:lineRule="exact"/>
        <w:rPr>
          <w:rFonts w:ascii="Times New Roman" w:cs="Times New Roman" w:eastAsia="Times New Roman" w:hAnsi="Times New Roman"/>
          <w:sz w:val="21"/>
          <w:szCs w:val="21"/>
          <w:color w:val="auto"/>
        </w:rPr>
      </w:pPr>
    </w:p>
    <w:p>
      <w:pPr>
        <w:ind w:left="180" w:right="20" w:firstLine="652"/>
        <w:spacing w:after="0" w:line="227" w:lineRule="auto"/>
        <w:tabs>
          <w:tab w:leader="none" w:pos="1471"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A termination of employment by the Executive on her own initiative, other than a termination due to Disability, death, or a termination for Good Reason, shall have the same consequences as provided in Article 10(c) for a termination for Cause. A voluntary termination under this Article 10(g) shall be effective on the date specified in the Executive’s written notice, unless such voluntary termination is earlier accepted by the Company, such early acceptance still to be treated as a voluntary termination by the Executive.</w:t>
      </w:r>
    </w:p>
    <w:p>
      <w:pPr>
        <w:sectPr>
          <w:pgSz w:w="11900" w:h="16838" w:orient="portrait"/>
          <w:cols w:equalWidth="0" w:num="1">
            <w:col w:w="10120"/>
          </w:cols>
          <w:pgMar w:left="1440" w:top="1440" w:right="339" w:bottom="1440" w:gutter="0" w:footer="0" w:header="0"/>
        </w:sectPr>
      </w:pPr>
    </w:p>
    <w:bookmarkStart w:id="211" w:name="page212"/>
    <w:bookmarkEnd w:id="211"/>
    <w:p>
      <w:pPr>
        <w:jc w:val="both"/>
        <w:ind w:left="640" w:right="40" w:firstLine="652"/>
        <w:spacing w:after="0" w:line="220" w:lineRule="auto"/>
        <w:tabs>
          <w:tab w:leader="none" w:pos="193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 No Offset</w:t>
      </w:r>
      <w:r>
        <w:rPr>
          <w:rFonts w:ascii="Times New Roman" w:cs="Times New Roman" w:eastAsia="Times New Roman" w:hAnsi="Times New Roman"/>
          <w:sz w:val="22"/>
          <w:szCs w:val="22"/>
          <w:color w:val="auto"/>
        </w:rPr>
        <w:t>. In the event of any termination of employment under this Article 10, the Executive shall be under no obligation to seek other employment and there shall be no offset against amounts due to the Executive under this Agreement on account of any remuneration attributable to any subsequent employment that she may obtain.</w:t>
      </w:r>
    </w:p>
    <w:p>
      <w:pPr>
        <w:spacing w:after="0" w:line="152" w:lineRule="exact"/>
        <w:rPr>
          <w:rFonts w:ascii="Times New Roman" w:cs="Times New Roman" w:eastAsia="Times New Roman" w:hAnsi="Times New Roman"/>
          <w:sz w:val="22"/>
          <w:szCs w:val="22"/>
          <w:color w:val="auto"/>
        </w:rPr>
      </w:pPr>
    </w:p>
    <w:p>
      <w:pPr>
        <w:ind w:left="640" w:right="880" w:firstLine="652"/>
        <w:spacing w:after="0" w:line="255" w:lineRule="auto"/>
        <w:tabs>
          <w:tab w:leader="none" w:pos="192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Payments</w:t>
      </w:r>
      <w:r>
        <w:rPr>
          <w:rFonts w:ascii="Times New Roman" w:cs="Times New Roman" w:eastAsia="Times New Roman" w:hAnsi="Times New Roman"/>
          <w:sz w:val="21"/>
          <w:szCs w:val="21"/>
          <w:color w:val="auto"/>
        </w:rPr>
        <w:t>. Any amounts due under this Article 10 are in the nature of severance payments considered to be reasonable by the Company and are not in the nature of a penalty.</w:t>
      </w:r>
    </w:p>
    <w:p>
      <w:pPr>
        <w:spacing w:after="0" w:line="134" w:lineRule="exact"/>
        <w:rPr>
          <w:rFonts w:ascii="Times New Roman" w:cs="Times New Roman" w:eastAsia="Times New Roman" w:hAnsi="Times New Roman"/>
          <w:sz w:val="21"/>
          <w:szCs w:val="21"/>
          <w:color w:val="auto"/>
        </w:rPr>
      </w:pPr>
    </w:p>
    <w:p>
      <w:pPr>
        <w:ind w:left="640" w:right="40" w:firstLine="652"/>
        <w:spacing w:after="0" w:line="222" w:lineRule="auto"/>
        <w:tabs>
          <w:tab w:leader="none" w:pos="192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of Payments</w:t>
      </w:r>
      <w:r>
        <w:rPr>
          <w:rFonts w:ascii="Times New Roman" w:cs="Times New Roman" w:eastAsia="Times New Roman" w:hAnsi="Times New Roman"/>
          <w:sz w:val="21"/>
          <w:szCs w:val="21"/>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her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 the first day following the six (6) month anniversary of the Executive’s Date of Termination and (ii) the Executive’s death.</w:t>
      </w:r>
    </w:p>
    <w:p>
      <w:pPr>
        <w:spacing w:after="0" w:line="149" w:lineRule="exact"/>
        <w:rPr>
          <w:rFonts w:ascii="Times New Roman" w:cs="Times New Roman" w:eastAsia="Times New Roman" w:hAnsi="Times New Roman"/>
          <w:sz w:val="21"/>
          <w:szCs w:val="21"/>
          <w:color w:val="auto"/>
        </w:rPr>
      </w:pPr>
    </w:p>
    <w:p>
      <w:pPr>
        <w:ind w:left="640" w:right="280" w:firstLine="652"/>
        <w:spacing w:after="0" w:line="236" w:lineRule="auto"/>
        <w:tabs>
          <w:tab w:leader="none" w:pos="193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Rights</w:t>
      </w:r>
      <w:r>
        <w:rPr>
          <w:rFonts w:ascii="Times New Roman" w:cs="Times New Roman" w:eastAsia="Times New Roman" w:hAnsi="Times New Roman"/>
          <w:sz w:val="22"/>
          <w:szCs w:val="22"/>
          <w:color w:val="auto"/>
        </w:rPr>
        <w:t>. For the avoidance of doubt, notwithstanding anything herein to the contrary, the Accrued Rights Payment shall not be subject to any requirement that the Executive execute a Release.</w:t>
      </w:r>
    </w:p>
    <w:p>
      <w:pPr>
        <w:spacing w:after="0" w:line="14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1"/>
          <w:szCs w:val="21"/>
          <w:b w:val="1"/>
          <w:bCs w:val="1"/>
          <w:u w:val="single" w:color="auto"/>
          <w:color w:val="auto"/>
        </w:rPr>
        <w:t>Noncompetition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640" w:right="60" w:firstLine="652"/>
        <w:spacing w:after="0" w:line="209" w:lineRule="auto"/>
        <w:tabs>
          <w:tab w:leader="none" w:pos="193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that, during the Executive’s employment with the Company and for a period of twelve (12) months following the termination of such employment, whether termination is by the Executive or the Company, and 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60" w:lineRule="exact"/>
        <w:rPr>
          <w:rFonts w:ascii="Times New Roman" w:cs="Times New Roman" w:eastAsia="Times New Roman" w:hAnsi="Times New Roman"/>
          <w:sz w:val="22"/>
          <w:szCs w:val="22"/>
          <w:color w:val="auto"/>
        </w:rPr>
      </w:pPr>
    </w:p>
    <w:p>
      <w:pPr>
        <w:ind w:left="640" w:firstLine="652"/>
        <w:spacing w:after="0" w:line="217" w:lineRule="auto"/>
        <w:tabs>
          <w:tab w:leader="none" w:pos="193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acknowledges and agrees that, in the event of the termination of her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w:t>
      </w:r>
    </w:p>
    <w:p>
      <w:pPr>
        <w:sectPr>
          <w:pgSz w:w="11900" w:h="16838" w:orient="portrait"/>
          <w:cols w:equalWidth="0" w:num="1">
            <w:col w:w="10580"/>
          </w:cols>
          <w:pgMar w:left="980" w:top="1395" w:right="339" w:bottom="1440" w:gutter="0" w:footer="0" w:header="0"/>
        </w:sectPr>
      </w:pPr>
    </w:p>
    <w:bookmarkStart w:id="212" w:name="page213"/>
    <w:bookmarkEnd w:id="212"/>
    <w:p>
      <w:pPr>
        <w:ind w:left="1300" w:right="640"/>
        <w:spacing w:after="0" w:line="236" w:lineRule="auto"/>
        <w:rPr>
          <w:sz w:val="20"/>
          <w:szCs w:val="20"/>
          <w:color w:val="auto"/>
        </w:rPr>
      </w:pPr>
      <w:r>
        <w:rPr>
          <w:rFonts w:ascii="Times New Roman" w:cs="Times New Roman" w:eastAsia="Times New Roman" w:hAnsi="Times New Roman"/>
          <w:sz w:val="22"/>
          <w:szCs w:val="22"/>
          <w:color w:val="auto"/>
        </w:rPr>
        <w:t>agrees that the covenants contained herein are necessary for the protection of the Parent and the Company’s legitimate business interests and are reasonable in scope and duration.</w:t>
      </w:r>
    </w:p>
    <w:p>
      <w:pPr>
        <w:spacing w:after="0" w:line="150" w:lineRule="exact"/>
        <w:rPr>
          <w:sz w:val="20"/>
          <w:szCs w:val="20"/>
          <w:color w:val="auto"/>
        </w:rPr>
      </w:pPr>
    </w:p>
    <w:p>
      <w:pPr>
        <w:ind w:left="1300" w:right="20" w:firstLine="652"/>
        <w:spacing w:after="0" w:line="213" w:lineRule="auto"/>
        <w:tabs>
          <w:tab w:leader="none" w:pos="25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12.</w:t>
      </w:r>
      <w:r>
        <w:rPr>
          <w:sz w:val="20"/>
          <w:szCs w:val="20"/>
          <w:color w:val="auto"/>
        </w:rPr>
        <w:tab/>
      </w:r>
      <w:r>
        <w:rPr>
          <w:rFonts w:ascii="Times New Roman" w:cs="Times New Roman" w:eastAsia="Times New Roman" w:hAnsi="Times New Roman"/>
          <w:sz w:val="21"/>
          <w:szCs w:val="21"/>
          <w:b w:val="1"/>
          <w:bCs w:val="1"/>
          <w:u w:val="single" w:color="auto"/>
          <w:color w:val="auto"/>
        </w:rPr>
        <w:t>Nonsolicitation of Employees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The Executive agrees that during her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right="40" w:firstLine="8"/>
        <w:spacing w:after="0" w:line="247" w:lineRule="auto"/>
        <w:tabs>
          <w:tab w:leader="none" w:pos="29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retain or solicit for employment or arrange to have any other person, firm, or other entity 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 Subsidiaries or affiliates (including the Company) or induce any such person to terminate his, her, or its relationship with the Parent or any of its Subsidiaries or affiliates (including the Company).</w:t>
      </w:r>
    </w:p>
    <w:p>
      <w:pPr>
        <w:spacing w:after="0" w:line="198"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In the event that the scopes of the restrictions in Article 11 or 12 are found overly broad, Executive agrees that a court should reform the restrictions by limiting them to the maximum reasonable scope.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13.</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right="20" w:firstLine="652"/>
        <w:spacing w:after="0" w:line="213" w:lineRule="auto"/>
        <w:tabs>
          <w:tab w:leader="none" w:pos="25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6" w:lineRule="exact"/>
        <w:rPr>
          <w:rFonts w:ascii="Times New Roman" w:cs="Times New Roman" w:eastAsia="Times New Roman" w:hAnsi="Times New Roman"/>
          <w:sz w:val="22"/>
          <w:szCs w:val="22"/>
          <w:color w:val="auto"/>
        </w:rPr>
      </w:pPr>
    </w:p>
    <w:p>
      <w:pPr>
        <w:ind w:left="1300" w:right="40" w:firstLine="652"/>
        <w:spacing w:after="0" w:line="215" w:lineRule="auto"/>
        <w:tabs>
          <w:tab w:leader="none" w:pos="25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w:t>
      </w:r>
    </w:p>
    <w:p>
      <w:pPr>
        <w:sectPr>
          <w:pgSz w:w="11900" w:h="16838" w:orient="portrait"/>
          <w:cols w:equalWidth="0" w:num="1">
            <w:col w:w="11240"/>
          </w:cols>
          <w:pgMar w:left="320" w:top="1395" w:right="339" w:bottom="1440" w:gutter="0" w:footer="0" w:header="0"/>
        </w:sectPr>
      </w:pPr>
    </w:p>
    <w:bookmarkStart w:id="213" w:name="page214"/>
    <w:bookmarkEnd w:id="213"/>
    <w:p>
      <w:pPr>
        <w:ind w:left="1300"/>
        <w:spacing w:after="0" w:line="218" w:lineRule="auto"/>
        <w:rPr>
          <w:sz w:val="20"/>
          <w:szCs w:val="20"/>
          <w:color w:val="auto"/>
        </w:rPr>
      </w:pPr>
      <w:r>
        <w:rPr>
          <w:rFonts w:ascii="Times New Roman" w:cs="Times New Roman" w:eastAsia="Times New Roman" w:hAnsi="Times New Roman"/>
          <w:sz w:val="21"/>
          <w:szCs w:val="21"/>
          <w:color w:val="auto"/>
        </w:rPr>
        <w:t>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13(b) shall be deemed to be amended to reflect the same.</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14.</w:t>
      </w:r>
      <w:r>
        <w:rPr>
          <w:sz w:val="20"/>
          <w:szCs w:val="20"/>
          <w:color w:val="auto"/>
        </w:rPr>
        <w:tab/>
      </w: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The Executive covenants and agrees that for the longest period legally enforceable, she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15.</w:t>
      </w:r>
      <w:r>
        <w:rPr>
          <w:sz w:val="20"/>
          <w:szCs w:val="20"/>
          <w:color w:val="auto"/>
        </w:rPr>
        <w:tab/>
      </w:r>
      <w:r>
        <w:rPr>
          <w:rFonts w:ascii="Times New Roman" w:cs="Times New Roman" w:eastAsia="Times New Roman" w:hAnsi="Times New Roman"/>
          <w:sz w:val="21"/>
          <w:szCs w:val="21"/>
          <w:b w:val="1"/>
          <w:bCs w:val="1"/>
          <w:u w:val="single" w:color="auto"/>
          <w:color w:val="auto"/>
        </w:rPr>
        <w:t>Litigation and Regulatory Cooperation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15.</w:t>
      </w:r>
    </w:p>
    <w:p>
      <w:pPr>
        <w:sectPr>
          <w:pgSz w:w="11900" w:h="16838" w:orient="portrait"/>
          <w:cols w:equalWidth="0" w:num="1">
            <w:col w:w="11240"/>
          </w:cols>
          <w:pgMar w:left="320" w:top="1395" w:right="339" w:bottom="1440" w:gutter="0" w:footer="0" w:header="0"/>
        </w:sectPr>
      </w:pPr>
    </w:p>
    <w:bookmarkStart w:id="214" w:name="page215"/>
    <w:bookmarkEnd w:id="214"/>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16.</w:t>
      </w:r>
      <w:r>
        <w:rPr>
          <w:sz w:val="20"/>
          <w:szCs w:val="20"/>
          <w:color w:val="auto"/>
        </w:rPr>
        <w:tab/>
      </w:r>
      <w:r>
        <w:rPr>
          <w:rFonts w:ascii="Times New Roman" w:cs="Times New Roman" w:eastAsia="Times New Roman" w:hAnsi="Times New Roman"/>
          <w:sz w:val="21"/>
          <w:szCs w:val="21"/>
          <w:b w:val="1"/>
          <w:bCs w:val="1"/>
          <w:u w:val="single" w:color="auto"/>
          <w:color w:val="auto"/>
        </w:rPr>
        <w:t>Resolution of Disputes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16.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8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Notwithstanding the provisions of this Article 16, the Parties agree that in the event of any dispute between the Executive and the Company as to any of the Executive’s obligations under Articles 11, 12, 13, 14, or 15 then the arbitration requirements of this Article 16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her work for the Company, she has purposely availed herself of the benefits and protections of the laws of the State of Nevada. Likewise, the arbitration requirements of this Article 16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 (v) administrative charges brought before the Equal Employment Opportunity Commission or other similar administrative agency, or (vi) any other claims that, as a matter of law, the Parties cannot agree to arbitrate. In addition, in connection with any such court action, the Executive acknowledges and agrees that the remedy at law available to the Company for breach by the Executive of any of her obligations under Articles 11, 12, 13, 14 or 15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11, 12, 13, 14 or 15 of this Agreement, the Company shall be entitled to immediate injunctive relief and may obtain a temporary order restraining any threatened or further breach, without the necessity of proof of actual damage. For purposes of clarity, each Party shall bear her or its own costs and expenses in connection with any such litigation, unless such costs and expenses are awarded to a Party by the court in such litigation.</w:t>
      </w:r>
    </w:p>
    <w:p>
      <w:pPr>
        <w:sectPr>
          <w:pgSz w:w="11900" w:h="16838" w:orient="portrait"/>
          <w:cols w:equalWidth="0" w:num="1">
            <w:col w:w="11200"/>
          </w:cols>
          <w:pgMar w:left="320" w:top="1391" w:right="379" w:bottom="1440" w:gutter="0" w:footer="0" w:header="0"/>
        </w:sectPr>
      </w:pPr>
    </w:p>
    <w:bookmarkStart w:id="215" w:name="page216"/>
    <w:bookmarkEnd w:id="215"/>
    <w:p>
      <w:pPr>
        <w:spacing w:after="0" w:line="198"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Times New Roman" w:cs="Times New Roman" w:eastAsia="Times New Roman" w:hAnsi="Times New Roman"/>
          <w:sz w:val="21"/>
          <w:szCs w:val="21"/>
          <w:b w:val="1"/>
          <w:bCs w:val="1"/>
          <w:color w:val="auto"/>
        </w:rPr>
        <w:t>THE PARTIES FULLY UNDERSTAND AND AGREE THAT THEY ARE</w:t>
      </w:r>
    </w:p>
    <w:p>
      <w:pPr>
        <w:spacing w:after="0" w:line="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b w:val="1"/>
          <w:bCs w:val="1"/>
          <w:color w:val="auto"/>
        </w:rPr>
        <w:t>GIVING UP CERTAIN RIGHTS OTHERWISE AFFORDED TO THEM BY CIVIL COURT ACTIONS, INCLUDING BUT NOT LIMITED TO THE RIGHT TO A JURY OR COURT TRIAL</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17.</w:t>
      </w:r>
      <w:r>
        <w:rPr>
          <w:sz w:val="20"/>
          <w:szCs w:val="20"/>
          <w:color w:val="auto"/>
        </w:rPr>
        <w:tab/>
      </w:r>
      <w:r>
        <w:rPr>
          <w:rFonts w:ascii="Times New Roman" w:cs="Times New Roman" w:eastAsia="Times New Roman" w:hAnsi="Times New Roman"/>
          <w:sz w:val="21"/>
          <w:szCs w:val="21"/>
          <w:b w:val="1"/>
          <w:bCs w:val="1"/>
          <w:u w:val="single" w:color="auto"/>
          <w:color w:val="auto"/>
        </w:rPr>
        <w:t>Assignability; Binding Nature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shall be binding upon and inure to the benefit of the Company and any successor to the Company,</w:t>
      </w:r>
    </w:p>
    <w:p>
      <w:pPr>
        <w:spacing w:after="0" w:line="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82"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her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17 hereof. Without limiting the generality of the foregoing, the Executive’s right to receive payments hereunder shall not be assignable, transferable or delegable, whether by pledge, creation of a security interest or otherwise, other than by a transfer by her will or by the laws of descent and distribution and, in the event of any attempted assignment or transfer contrary to this Article 17, the Company shall have no liability to pay any amount so attempted to be assigned, transferred or delegated.</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18.</w:t>
      </w:r>
      <w:r>
        <w:rPr>
          <w:sz w:val="20"/>
          <w:szCs w:val="20"/>
          <w:color w:val="auto"/>
        </w:rPr>
        <w:tab/>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contains the entire understanding and agreement between the Parties concerning the subject matter hereof and supersedes all prior agreements, understandings, discussions, negotiations and undertakings, whether written or oral, between the Parties with respect thereto, including without limitation the Prior Agreement.</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19.</w:t>
      </w:r>
      <w:r>
        <w:rPr>
          <w:sz w:val="20"/>
          <w:szCs w:val="20"/>
          <w:color w:val="auto"/>
        </w:rPr>
        <w:tab/>
      </w:r>
      <w:r>
        <w:rPr>
          <w:rFonts w:ascii="Times New Roman" w:cs="Times New Roman" w:eastAsia="Times New Roman" w:hAnsi="Times New Roman"/>
          <w:sz w:val="21"/>
          <w:szCs w:val="21"/>
          <w:b w:val="1"/>
          <w:bCs w:val="1"/>
          <w:u w:val="single" w:color="auto"/>
          <w:color w:val="auto"/>
        </w:rPr>
        <w:t>Amendment or Waiver</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9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20.</w:t>
      </w:r>
      <w:r>
        <w:rPr>
          <w:sz w:val="20"/>
          <w:szCs w:val="20"/>
          <w:color w:val="auto"/>
        </w:rPr>
        <w:tab/>
      </w: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may withhold from any amounts payable under this Agreement all federal, state, city, or other taxes as shall be required pursuant to any law or government regulation or ruling.</w:t>
      </w:r>
    </w:p>
    <w:p>
      <w:pPr>
        <w:spacing w:after="0" w:line="12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21.</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3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22.</w:t>
      </w:r>
      <w:r>
        <w:rPr>
          <w:sz w:val="20"/>
          <w:szCs w:val="20"/>
          <w:color w:val="auto"/>
        </w:rPr>
        <w:tab/>
      </w:r>
      <w:r>
        <w:rPr>
          <w:rFonts w:ascii="Times New Roman" w:cs="Times New Roman" w:eastAsia="Times New Roman" w:hAnsi="Times New Roman"/>
          <w:sz w:val="21"/>
          <w:szCs w:val="21"/>
          <w:b w:val="1"/>
          <w:bCs w:val="1"/>
          <w:u w:val="single" w:color="auto"/>
          <w:color w:val="auto"/>
        </w:rPr>
        <w:t>Survivorship</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and embodied in the rights (such as vested rights) and obligations of the Parties under this Agreement.</w:t>
      </w:r>
    </w:p>
    <w:p>
      <w:pPr>
        <w:spacing w:after="0" w:line="15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23.</w:t>
      </w:r>
      <w:r>
        <w:rPr>
          <w:sz w:val="20"/>
          <w:szCs w:val="20"/>
          <w:color w:val="auto"/>
        </w:rPr>
        <w:tab/>
      </w:r>
      <w:r>
        <w:rPr>
          <w:rFonts w:ascii="Times New Roman" w:cs="Times New Roman" w:eastAsia="Times New Roman" w:hAnsi="Times New Roman"/>
          <w:sz w:val="21"/>
          <w:szCs w:val="21"/>
          <w:b w:val="1"/>
          <w:bCs w:val="1"/>
          <w:u w:val="single" w:color="auto"/>
          <w:color w:val="auto"/>
        </w:rPr>
        <w:t>References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In the event of the Executive’s death or a judicial determination of her incompetence, reference in this Agreement to the Executive shall be deemed, where appropriate, to refer to her beneficiary, estate or other legal representative.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24.</w:t>
      </w:r>
      <w:r>
        <w:rPr>
          <w:sz w:val="20"/>
          <w:szCs w:val="20"/>
          <w:color w:val="auto"/>
        </w:rPr>
        <w:tab/>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shall be governed in accordance with the laws of Nevada without reference to principles of conflict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laws.</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25.</w:t>
      </w:r>
      <w:r>
        <w:rPr>
          <w:sz w:val="20"/>
          <w:szCs w:val="20"/>
          <w:color w:val="auto"/>
        </w:rPr>
        <w:tab/>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All notices and other communications required or permitted hereunder shall be in writing and shall be deemed given when</w:t>
      </w:r>
    </w:p>
    <w:p>
      <w:pPr>
        <w:spacing w:after="0" w:line="39" w:lineRule="exact"/>
        <w:rPr>
          <w:sz w:val="20"/>
          <w:szCs w:val="20"/>
          <w:color w:val="auto"/>
        </w:rPr>
      </w:pPr>
    </w:p>
    <w:p>
      <w:pPr>
        <w:jc w:val="both"/>
        <w:ind w:right="60" w:firstLine="8"/>
        <w:spacing w:after="0" w:line="245" w:lineRule="auto"/>
        <w:tabs>
          <w:tab w:leader="none" w:pos="29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personally, (b) delivered by certified or registered mail, postage prepaid, return receipt requested or (c) delivered by overnight courier (provided that a written acknowledgment of receipt is obtained by the overnight courier) to the Party concerned at</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indicated below or to such changed address as such Party may subsequently give such notice 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Caesars Enterprise Services, LLC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Caesars Entertainment, Inc.</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W. Liberty Street, 12th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Reno, NV 89501</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Chief Administrative Officer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 the last residential address known by the Company</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26.</w:t>
      </w:r>
      <w:r>
        <w:rPr>
          <w:sz w:val="20"/>
          <w:szCs w:val="20"/>
          <w:color w:val="auto"/>
        </w:rPr>
        <w:tab/>
      </w: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The headings of the articles contained in this Agreement are for convenience only and shall not be deemed to control or affect the meaning or construction of any provision of this Agreement.</w:t>
      </w:r>
    </w:p>
    <w:p>
      <w:pPr>
        <w:spacing w:after="0" w:line="12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27.</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may be executed in two or more counterparts.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28.</w:t>
      </w:r>
      <w:r>
        <w:rPr>
          <w:sz w:val="20"/>
          <w:szCs w:val="20"/>
          <w:color w:val="auto"/>
        </w:rPr>
        <w:tab/>
      </w:r>
      <w:r>
        <w:rPr>
          <w:rFonts w:ascii="Times New Roman" w:cs="Times New Roman" w:eastAsia="Times New Roman" w:hAnsi="Times New Roman"/>
          <w:sz w:val="21"/>
          <w:szCs w:val="21"/>
          <w:b w:val="1"/>
          <w:bCs w:val="1"/>
          <w:u w:val="single" w:color="auto"/>
          <w:color w:val="auto"/>
        </w:rPr>
        <w:t>Code Section 409A Compliance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29.</w:t>
      </w:r>
      <w:r>
        <w:rPr>
          <w:sz w:val="20"/>
          <w:szCs w:val="20"/>
          <w:color w:val="auto"/>
        </w:rPr>
        <w:tab/>
      </w:r>
      <w:r>
        <w:rPr>
          <w:rFonts w:ascii="Times New Roman" w:cs="Times New Roman" w:eastAsia="Times New Roman" w:hAnsi="Times New Roman"/>
          <w:sz w:val="21"/>
          <w:szCs w:val="21"/>
          <w:b w:val="1"/>
          <w:bCs w:val="1"/>
          <w:u w:val="single" w:color="auto"/>
          <w:color w:val="auto"/>
        </w:rPr>
        <w:t>Code Section 280G Policy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firstLine="652"/>
        <w:spacing w:after="0" w:line="217" w:lineRule="auto"/>
        <w:tabs>
          <w:tab w:leader="none" w:pos="25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w:t>
      </w:r>
    </w:p>
    <w:p>
      <w:pPr>
        <w:sectPr>
          <w:pgSz w:w="11900" w:h="16838" w:orient="portrait"/>
          <w:cols w:equalWidth="0" w:num="1">
            <w:col w:w="11220"/>
          </w:cols>
          <w:pgMar w:left="320" w:top="1440" w:right="359" w:bottom="1440" w:gutter="0" w:footer="0" w:header="0"/>
        </w:sectPr>
      </w:pPr>
    </w:p>
    <w:bookmarkStart w:id="218" w:name="page219"/>
    <w:bookmarkEnd w:id="218"/>
    <w:p>
      <w:pPr>
        <w:ind w:left="1300" w:right="20"/>
        <w:spacing w:after="0" w:line="220" w:lineRule="auto"/>
        <w:rPr>
          <w:sz w:val="20"/>
          <w:szCs w:val="20"/>
          <w:color w:val="auto"/>
        </w:rPr>
      </w:pPr>
      <w:r>
        <w:rPr>
          <w:rFonts w:ascii="Times New Roman" w:cs="Times New Roman" w:eastAsia="Times New Roman" w:hAnsi="Times New Roman"/>
          <w:sz w:val="21"/>
          <w:szCs w:val="21"/>
          <w:color w:val="auto"/>
        </w:rPr>
        <w:t xml:space="preserve">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7" w:lineRule="exact"/>
        <w:rPr>
          <w:sz w:val="20"/>
          <w:szCs w:val="20"/>
          <w:color w:val="auto"/>
        </w:rPr>
      </w:pPr>
    </w:p>
    <w:p>
      <w:pPr>
        <w:ind w:left="1300" w:firstLine="652"/>
        <w:spacing w:after="0" w:line="224" w:lineRule="auto"/>
        <w:tabs>
          <w:tab w:leader="none" w:pos="259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Article 29,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0" w:lineRule="exact"/>
        <w:rPr>
          <w:rFonts w:ascii="Times New Roman" w:cs="Times New Roman" w:eastAsia="Times New Roman" w:hAnsi="Times New Roman"/>
          <w:sz w:val="21"/>
          <w:szCs w:val="21"/>
          <w:color w:val="auto"/>
        </w:rPr>
      </w:pPr>
    </w:p>
    <w:p>
      <w:pPr>
        <w:ind w:left="1300" w:right="40" w:firstLine="652"/>
        <w:spacing w:after="0" w:line="215" w:lineRule="auto"/>
        <w:tabs>
          <w:tab w:leader="none" w:pos="25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whether a reduction in the Aggregate Payments shall be made pursuant to Article 29(a)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30.</w:t>
      </w:r>
      <w:r>
        <w:rPr>
          <w:sz w:val="20"/>
          <w:szCs w:val="20"/>
          <w:color w:val="auto"/>
        </w:rPr>
        <w:tab/>
      </w:r>
      <w:r>
        <w:rPr>
          <w:rFonts w:ascii="Times New Roman" w:cs="Times New Roman" w:eastAsia="Times New Roman" w:hAnsi="Times New Roman"/>
          <w:sz w:val="21"/>
          <w:szCs w:val="21"/>
          <w:b w:val="1"/>
          <w:bCs w:val="1"/>
          <w:u w:val="single" w:color="auto"/>
          <w:color w:val="auto"/>
        </w:rPr>
        <w:t>Resignations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31.</w:t>
      </w:r>
      <w:r>
        <w:rPr>
          <w:sz w:val="20"/>
          <w:szCs w:val="20"/>
          <w:color w:val="auto"/>
        </w:rPr>
        <w:tab/>
      </w:r>
      <w:r>
        <w:rPr>
          <w:rFonts w:ascii="Times New Roman" w:cs="Times New Roman" w:eastAsia="Times New Roman" w:hAnsi="Times New Roman"/>
          <w:sz w:val="21"/>
          <w:szCs w:val="21"/>
          <w:b w:val="1"/>
          <w:bCs w:val="1"/>
          <w:u w:val="single" w:color="auto"/>
          <w:color w:val="auto"/>
        </w:rPr>
        <w:t>Clawback Provisions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w:t>
      </w:r>
    </w:p>
    <w:p>
      <w:pPr>
        <w:sectPr>
          <w:pgSz w:w="11900" w:h="16838" w:orient="portrait"/>
          <w:cols w:equalWidth="0" w:num="1">
            <w:col w:w="11240"/>
          </w:cols>
          <w:pgMar w:left="320" w:top="1395" w:right="339" w:bottom="1440" w:gutter="0" w:footer="0" w:header="0"/>
        </w:sectPr>
      </w:pPr>
    </w:p>
    <w:bookmarkStart w:id="219" w:name="page220"/>
    <w:bookmarkEnd w:id="219"/>
    <w:p>
      <w:pPr>
        <w:spacing w:after="0" w:line="1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 Subsidiaries or affiliates (including the Company) pursuant to any such law, government regulation or stock exchange listing requirement).</w:t>
      </w:r>
    </w:p>
    <w:p>
      <w:pPr>
        <w:spacing w:after="0" w:line="16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(Signature Page to Follow)</w:t>
      </w:r>
    </w:p>
    <w:p>
      <w:pPr>
        <w:sectPr>
          <w:pgSz w:w="11900" w:h="16838" w:orient="portrait"/>
          <w:cols w:equalWidth="0" w:num="1">
            <w:col w:w="10840"/>
          </w:cols>
          <w:pgMar w:left="320" w:top="1440" w:right="739" w:bottom="1440" w:gutter="0" w:footer="0" w:header="0"/>
        </w:sectPr>
      </w:pPr>
    </w:p>
    <w:bookmarkStart w:id="220" w:name="page221"/>
    <w:bookmarkEnd w:id="220"/>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Effective Date.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4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 Stephanie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-13970</wp:posOffset>
            </wp:positionV>
            <wp:extent cx="12420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4">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 Stephanie Lepori</w:t>
      </w:r>
    </w:p>
    <w:p>
      <w:pPr>
        <w:spacing w:after="0" w:line="200" w:lineRule="exact"/>
        <w:rPr>
          <w:sz w:val="20"/>
          <w:szCs w:val="20"/>
          <w:color w:val="auto"/>
        </w:rPr>
      </w:pPr>
    </w:p>
    <w:p>
      <w:pPr>
        <w:spacing w:after="0" w:line="2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Caesars Enterprise Services, LLC</w:t>
      </w:r>
    </w:p>
    <w:p>
      <w:pPr>
        <w:spacing w:after="0" w:line="200" w:lineRule="exact"/>
        <w:rPr>
          <w:sz w:val="20"/>
          <w:szCs w:val="20"/>
          <w:color w:val="auto"/>
        </w:rPr>
      </w:pPr>
    </w:p>
    <w:p>
      <w:pPr>
        <w:spacing w:after="0" w:line="251" w:lineRule="exact"/>
        <w:rPr>
          <w:sz w:val="20"/>
          <w:szCs w:val="20"/>
          <w:color w:val="auto"/>
        </w:rPr>
      </w:pPr>
    </w:p>
    <w:p>
      <w:pPr>
        <w:ind w:left="388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-13970</wp:posOffset>
            </wp:positionV>
            <wp:extent cx="1219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5">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 Thomas R. Reeg</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9479"/>
          </w:cols>
          <w:pgMar w:left="980" w:top="1440" w:right="1440" w:bottom="1440" w:gutter="0" w:footer="0" w:header="0"/>
          <w:type w:val="continuous"/>
        </w:sectPr>
      </w:pPr>
    </w:p>
    <w:bookmarkStart w:id="221" w:name="page222"/>
    <w:bookmarkEnd w:id="221"/>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RELEASE OF CLAIMS AGREEMENT</w:t>
      </w:r>
    </w:p>
    <w:p>
      <w:pPr>
        <w:spacing w:after="0" w:line="224" w:lineRule="exact"/>
        <w:rPr>
          <w:sz w:val="20"/>
          <w:szCs w:val="20"/>
          <w:color w:val="auto"/>
        </w:rPr>
      </w:pPr>
    </w:p>
    <w:p>
      <w:pPr>
        <w:ind w:left="80" w:right="260" w:firstLine="567"/>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hereby acknowledges that Caesars Enterprise Services, LLC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is offering Employee certain payments in connection with Employee’s termination of employment pursuant to the employment agreement entered into between Employer and Employee, as amended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in exchange for Employee’s promises in this Waiver and Release of Claims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Severance Payments</w:t>
      </w:r>
    </w:p>
    <w:p>
      <w:pPr>
        <w:spacing w:after="0" w:line="22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Employee agrees that Employee will be entitled to receive the applicable severance payments under the Employment Agreement (the “</w:t>
      </w:r>
      <w:r>
        <w:rPr>
          <w:rFonts w:ascii="Times New Roman" w:cs="Times New Roman" w:eastAsia="Times New Roman" w:hAnsi="Times New Roman"/>
          <w:sz w:val="22"/>
          <w:szCs w:val="22"/>
          <w:u w:val="single" w:color="auto"/>
          <w:color w:val="auto"/>
        </w:rPr>
        <w:t>Severance Payments</w:t>
      </w:r>
      <w:r>
        <w:rPr>
          <w:rFonts w:ascii="Times New Roman" w:cs="Times New Roman" w:eastAsia="Times New Roman" w:hAnsi="Times New Roman"/>
          <w:sz w:val="22"/>
          <w:szCs w:val="22"/>
          <w:color w:val="auto"/>
        </w:rPr>
        <w:t>”) only if Employee accepts and does not revoke this Agreement, which requires Employee to release both known and unknown claims.</w:t>
      </w:r>
    </w:p>
    <w:p>
      <w:pPr>
        <w:spacing w:after="0" w:line="16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Employee agrees that the Severance Payments tendered under the Employment Agreement constitute fair and adequate consideration for the execution of this Agreement. Employee further agrees that Employee has been fully compensated for all wages and fringe benefits, including, but not limited to, paid and unpaid leave, due and owing, and that the Severance Payments are in addition to payments and benefits to which Employee is otherwise entitled.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Claims That Are Being Released</w:t>
      </w:r>
    </w:p>
    <w:p>
      <w:pPr>
        <w:spacing w:after="0" w:line="22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Employee agrees that this Agreement constitutes a full and final release by Employee and Employee’s descendants, dependents, heirs, executors, administrators, assigns, and successors, of any and all claims, charges, and complaints, whether known or unknown, that Employee has or may have to date against Employer and any of its parents, subsidiaries, or affiliated entities and their respective officers, directors, shareholders, partners, joint venturers, employees, consultants, insurers, agents, predecessors, successors, and assigns, arising out of or related to Employee’s employment or the termination thereof, or otherwise based upon acts or events that occurred on or before the date on which Employee signs this Agreement. To the fullest extent allowed by law, Employee hereby waives and releases any and all such claims, charges, and complaints in return for the Severance Payments. This release of claims is intended to be as broad as the law allows, and includes, but is not limited to, rights arising out of alleged violations of any contracts, express or implied, any covenant of good faith or fair dealing, express or implied, any tort or common law claims, any legal restrictions on Employer’s right to terminate employees, and any claims under any federal, state, municipal, local, or other governmental statute, regulation, or ordinance, including, without limitation:</w:t>
      </w:r>
    </w:p>
    <w:p>
      <w:pPr>
        <w:spacing w:after="0" w:line="176" w:lineRule="exact"/>
        <w:rPr>
          <w:sz w:val="20"/>
          <w:szCs w:val="20"/>
          <w:color w:val="auto"/>
        </w:rPr>
      </w:pPr>
    </w:p>
    <w:p>
      <w:pPr>
        <w:ind w:left="660" w:right="300" w:firstLine="648"/>
        <w:spacing w:after="0" w:line="271" w:lineRule="auto"/>
        <w:rPr>
          <w:sz w:val="20"/>
          <w:szCs w:val="20"/>
          <w:color w:val="auto"/>
        </w:rPr>
      </w:pPr>
      <w:r>
        <w:rPr>
          <w:rFonts w:ascii="Times New Roman" w:cs="Times New Roman" w:eastAsia="Times New Roman" w:hAnsi="Times New Roman"/>
          <w:sz w:val="22"/>
          <w:szCs w:val="22"/>
          <w:color w:val="auto"/>
        </w:rPr>
        <w:t>claims of discrimination, harassment, or retaliation under equal employment laws such as Title VII of the Civil Rights Act of 1964, the Americans with Disabilities Act, the</w:t>
      </w:r>
    </w:p>
    <w:p>
      <w:pPr>
        <w:sectPr>
          <w:pgSz w:w="11900" w:h="16838" w:orient="portrait"/>
          <w:cols w:equalWidth="0" w:num="1">
            <w:col w:w="11180"/>
          </w:cols>
          <w:pgMar w:left="320" w:top="1440" w:right="399" w:bottom="1440" w:gutter="0" w:footer="0" w:header="0"/>
        </w:sectPr>
      </w:pPr>
    </w:p>
    <w:bookmarkStart w:id="222" w:name="page223"/>
    <w:bookmarkEnd w:id="222"/>
    <w:p>
      <w:pPr>
        <w:spacing w:after="0" w:line="198" w:lineRule="exact"/>
        <w:rPr>
          <w:sz w:val="20"/>
          <w:szCs w:val="20"/>
          <w:color w:val="auto"/>
        </w:rPr>
      </w:pPr>
    </w:p>
    <w:p>
      <w:pPr>
        <w:ind w:left="660" w:right="240"/>
        <w:spacing w:after="0" w:line="271" w:lineRule="auto"/>
        <w:rPr>
          <w:sz w:val="20"/>
          <w:szCs w:val="20"/>
          <w:color w:val="auto"/>
        </w:rPr>
      </w:pPr>
      <w:r>
        <w:rPr>
          <w:rFonts w:ascii="Times New Roman" w:cs="Times New Roman" w:eastAsia="Times New Roman" w:hAnsi="Times New Roman"/>
          <w:sz w:val="22"/>
          <w:szCs w:val="22"/>
          <w:color w:val="auto"/>
        </w:rPr>
        <w:t>Age Discrimination in Employment Act, the Older Workers Benefit Protection Act, the Rehabilitation Act of 1973, and any and all other federal, state, municipal, local, or foreign equal opportunity laws;</w:t>
      </w:r>
    </w:p>
    <w:p>
      <w:pPr>
        <w:spacing w:after="0" w:line="158" w:lineRule="exact"/>
        <w:rPr>
          <w:sz w:val="20"/>
          <w:szCs w:val="20"/>
          <w:color w:val="auto"/>
        </w:rPr>
      </w:pPr>
    </w:p>
    <w:p>
      <w:pPr>
        <w:ind w:left="660" w:right="1240" w:firstLine="648"/>
        <w:spacing w:after="0" w:line="284" w:lineRule="auto"/>
        <w:rPr>
          <w:sz w:val="20"/>
          <w:szCs w:val="20"/>
          <w:color w:val="auto"/>
        </w:rPr>
      </w:pPr>
      <w:r>
        <w:rPr>
          <w:rFonts w:ascii="Times New Roman" w:cs="Times New Roman" w:eastAsia="Times New Roman" w:hAnsi="Times New Roman"/>
          <w:sz w:val="22"/>
          <w:szCs w:val="22"/>
          <w:color w:val="auto"/>
        </w:rPr>
        <w:t>if applicable, claims of wrongful termination of employment; statutory, regulatory, and common law “whistleblower” claims, and claims for wrongful termination in violation of public policy;</w:t>
      </w:r>
    </w:p>
    <w:p>
      <w:pPr>
        <w:spacing w:after="0" w:line="144" w:lineRule="exact"/>
        <w:rPr>
          <w:sz w:val="20"/>
          <w:szCs w:val="20"/>
          <w:color w:val="auto"/>
        </w:rPr>
      </w:pPr>
    </w:p>
    <w:p>
      <w:pPr>
        <w:ind w:left="660" w:right="440" w:firstLine="648"/>
        <w:spacing w:after="0" w:line="271" w:lineRule="auto"/>
        <w:rPr>
          <w:sz w:val="20"/>
          <w:szCs w:val="20"/>
          <w:color w:val="auto"/>
        </w:rPr>
      </w:pPr>
      <w:r>
        <w:rPr>
          <w:rFonts w:ascii="Times New Roman" w:cs="Times New Roman" w:eastAsia="Times New Roman" w:hAnsi="Times New Roman"/>
          <w:sz w:val="22"/>
          <w:szCs w:val="22"/>
          <w:color w:val="auto"/>
        </w:rPr>
        <w:t>claims arising under the Employee Retirement Income Security Act of 1974, except for any claims relating to vested benefits under Employer’s employee benefit plans;</w:t>
      </w:r>
    </w:p>
    <w:p>
      <w:pPr>
        <w:spacing w:after="0" w:line="158" w:lineRule="exact"/>
        <w:rPr>
          <w:sz w:val="20"/>
          <w:szCs w:val="20"/>
          <w:color w:val="auto"/>
        </w:rPr>
      </w:pPr>
    </w:p>
    <w:p>
      <w:pPr>
        <w:ind w:left="660" w:right="340" w:firstLine="648"/>
        <w:spacing w:after="0" w:line="271" w:lineRule="auto"/>
        <w:rPr>
          <w:sz w:val="20"/>
          <w:szCs w:val="20"/>
          <w:color w:val="auto"/>
        </w:rPr>
      </w:pPr>
      <w:r>
        <w:rPr>
          <w:rFonts w:ascii="Times New Roman" w:cs="Times New Roman" w:eastAsia="Times New Roman" w:hAnsi="Times New Roman"/>
          <w:sz w:val="22"/>
          <w:szCs w:val="22"/>
          <w:color w:val="auto"/>
        </w:rPr>
        <w:t>claims of violation of wage and hour laws, including, but not limited to, claims for overtime pay, meal and rest period violations, and recordkeeping violations; and</w:t>
      </w:r>
    </w:p>
    <w:p>
      <w:pPr>
        <w:spacing w:after="0" w:line="171" w:lineRule="exact"/>
        <w:rPr>
          <w:sz w:val="20"/>
          <w:szCs w:val="20"/>
          <w:color w:val="auto"/>
        </w:rPr>
      </w:pPr>
    </w:p>
    <w:p>
      <w:pPr>
        <w:ind w:left="660" w:right="3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claims of violation of federal, state, municipal, local, or foreign laws concerning leaves of absence, such as the Family and Medical Leave Act. </w:t>
      </w:r>
      <w:r>
        <w:rPr>
          <w:rFonts w:ascii="Times New Roman" w:cs="Times New Roman" w:eastAsia="Times New Roman" w:hAnsi="Times New Roman"/>
          <w:sz w:val="22"/>
          <w:szCs w:val="22"/>
          <w:b w:val="1"/>
          <w:bCs w:val="1"/>
          <w:color w:val="auto"/>
        </w:rPr>
        <w:t>[Other applicable provisions to be included based upon Employee’s place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employment.]</w:t>
      </w:r>
    </w:p>
    <w:p>
      <w:pPr>
        <w:spacing w:after="0" w:line="173"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If Employee has worked or is working in California, Employee expressly agrees to waive the protection of Section 1542 of the California Civil Code, which provides:</w:t>
      </w:r>
    </w:p>
    <w:p>
      <w:pPr>
        <w:spacing w:after="0" w:line="158" w:lineRule="exact"/>
        <w:rPr>
          <w:sz w:val="20"/>
          <w:szCs w:val="20"/>
          <w:color w:val="auto"/>
        </w:rPr>
      </w:pPr>
    </w:p>
    <w:p>
      <w:pPr>
        <w:jc w:val="both"/>
        <w:ind w:left="660" w:right="620"/>
        <w:spacing w:after="0" w:line="256" w:lineRule="auto"/>
        <w:rPr>
          <w:sz w:val="20"/>
          <w:szCs w:val="20"/>
          <w:color w:val="auto"/>
        </w:rPr>
      </w:pPr>
      <w:r>
        <w:rPr>
          <w:rFonts w:ascii="Times New Roman" w:cs="Times New Roman" w:eastAsia="Times New Roman" w:hAnsi="Times New Roman"/>
          <w:sz w:val="22"/>
          <w:szCs w:val="22"/>
          <w:color w:val="333333"/>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Claims That Are Not Being Released</w:t>
      </w:r>
    </w:p>
    <w:p>
      <w:pPr>
        <w:spacing w:after="0" w:line="22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This release does not include any claims that may not be released as a matter of law, and this release does not waive claims or rights that arise after Employee signs this Agreement. Further, this release will not prevent Employee from doing any of the following:</w:t>
      </w:r>
    </w:p>
    <w:p>
      <w:pPr>
        <w:spacing w:after="0" w:line="167" w:lineRule="exact"/>
        <w:rPr>
          <w:sz w:val="20"/>
          <w:szCs w:val="20"/>
          <w:color w:val="auto"/>
        </w:rPr>
      </w:pPr>
    </w:p>
    <w:p>
      <w:pPr>
        <w:ind w:left="660" w:right="240" w:firstLine="648"/>
        <w:spacing w:after="0" w:line="256" w:lineRule="auto"/>
        <w:rPr>
          <w:sz w:val="20"/>
          <w:szCs w:val="20"/>
          <w:color w:val="auto"/>
        </w:rPr>
      </w:pPr>
      <w:r>
        <w:rPr>
          <w:rFonts w:ascii="Times New Roman" w:cs="Times New Roman" w:eastAsia="Times New Roman" w:hAnsi="Times New Roman"/>
          <w:sz w:val="22"/>
          <w:szCs w:val="22"/>
          <w:color w:val="auto"/>
        </w:rPr>
        <w:t>obtaining unemployment compensation, state disability insurance, or workers’ compensation benefits from the appropriate agency of the state in which Employee lives and works, provided Employee satisfies the legal requirements for such benefits (nothing in this Agreement, however, guarantees or otherwise constitutes a representation of any kind that Employee is entitled to such benefits);</w:t>
      </w:r>
    </w:p>
    <w:p>
      <w:pPr>
        <w:spacing w:after="0" w:line="176" w:lineRule="exact"/>
        <w:rPr>
          <w:sz w:val="20"/>
          <w:szCs w:val="20"/>
          <w:color w:val="auto"/>
        </w:rPr>
      </w:pPr>
    </w:p>
    <w:p>
      <w:pPr>
        <w:ind w:left="660" w:right="800" w:firstLine="648"/>
        <w:spacing w:after="0" w:line="271" w:lineRule="auto"/>
        <w:rPr>
          <w:sz w:val="20"/>
          <w:szCs w:val="20"/>
          <w:color w:val="auto"/>
        </w:rPr>
      </w:pPr>
      <w:r>
        <w:rPr>
          <w:rFonts w:ascii="Times New Roman" w:cs="Times New Roman" w:eastAsia="Times New Roman" w:hAnsi="Times New Roman"/>
          <w:sz w:val="22"/>
          <w:szCs w:val="22"/>
          <w:color w:val="auto"/>
        </w:rPr>
        <w:t>asserting any right that is created or preserved by this Agreement, such as Employee’s right to receive the Severance Benefits;</w:t>
      </w:r>
    </w:p>
    <w:p>
      <w:pPr>
        <w:spacing w:after="0" w:line="158" w:lineRule="exact"/>
        <w:rPr>
          <w:sz w:val="20"/>
          <w:szCs w:val="20"/>
          <w:color w:val="auto"/>
        </w:rPr>
      </w:pPr>
    </w:p>
    <w:p>
      <w:pPr>
        <w:ind w:left="660" w:right="440" w:firstLine="648"/>
        <w:spacing w:after="0" w:line="257" w:lineRule="auto"/>
        <w:rPr>
          <w:sz w:val="20"/>
          <w:szCs w:val="20"/>
          <w:color w:val="auto"/>
        </w:rPr>
      </w:pPr>
      <w:r>
        <w:rPr>
          <w:rFonts w:ascii="Times New Roman" w:cs="Times New Roman" w:eastAsia="Times New Roman" w:hAnsi="Times New Roman"/>
          <w:sz w:val="22"/>
          <w:szCs w:val="22"/>
          <w:color w:val="auto"/>
        </w:rPr>
        <w:t>filing a charge, giving testimony or participating in any investigation conducted by the United States Equal Employment Opportunity Commission (the “</w:t>
      </w:r>
      <w:r>
        <w:rPr>
          <w:rFonts w:ascii="Times New Roman" w:cs="Times New Roman" w:eastAsia="Times New Roman" w:hAnsi="Times New Roman"/>
          <w:sz w:val="22"/>
          <w:szCs w:val="22"/>
          <w:u w:val="single" w:color="auto"/>
          <w:color w:val="auto"/>
        </w:rPr>
        <w:t>EEOC</w:t>
      </w:r>
      <w:r>
        <w:rPr>
          <w:rFonts w:ascii="Times New Roman" w:cs="Times New Roman" w:eastAsia="Times New Roman" w:hAnsi="Times New Roman"/>
          <w:sz w:val="22"/>
          <w:szCs w:val="22"/>
          <w:color w:val="auto"/>
        </w:rPr>
        <w:t>”) or any duly authorized agency of the United States or any state (however, Employee is hereby</w:t>
      </w:r>
    </w:p>
    <w:p>
      <w:pPr>
        <w:sectPr>
          <w:pgSz w:w="11900" w:h="16838" w:orient="portrait"/>
          <w:cols w:equalWidth="0" w:num="1">
            <w:col w:w="11220"/>
          </w:cols>
          <w:pgMar w:left="320" w:top="1440" w:right="359" w:bottom="1440" w:gutter="0" w:footer="0" w:header="0"/>
        </w:sectPr>
      </w:pPr>
    </w:p>
    <w:bookmarkStart w:id="223" w:name="page224"/>
    <w:bookmarkEnd w:id="223"/>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waiving the right to any personal monetary recovery or other personal relief should the EEOC (or any similarly authorized agency) pursue any class or individual charges in part or entirely on Employee’s behalf); or</w:t>
      </w:r>
    </w:p>
    <w:p>
      <w:pPr>
        <w:spacing w:after="0" w:line="158" w:lineRule="exact"/>
        <w:rPr>
          <w:sz w:val="20"/>
          <w:szCs w:val="20"/>
          <w:color w:val="auto"/>
        </w:rPr>
      </w:pPr>
    </w:p>
    <w:p>
      <w:pPr>
        <w:ind w:left="660" w:right="220" w:firstLine="648"/>
        <w:spacing w:after="0" w:line="263" w:lineRule="auto"/>
        <w:rPr>
          <w:sz w:val="20"/>
          <w:szCs w:val="20"/>
          <w:color w:val="auto"/>
        </w:rPr>
      </w:pPr>
      <w:r>
        <w:rPr>
          <w:rFonts w:ascii="Times New Roman" w:cs="Times New Roman" w:eastAsia="Times New Roman" w:hAnsi="Times New Roman"/>
          <w:sz w:val="22"/>
          <w:szCs w:val="22"/>
          <w:color w:val="auto"/>
        </w:rPr>
        <w:t>challenging or seeking determination in good faith of the validity of this waiver under the Age Discrimination in Employment Act (nor does this release impose any condition precedent, penalties, or costs for doing so, unless specifically authorized by federal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Employee Covenants</w:t>
      </w:r>
    </w:p>
    <w:p>
      <w:pPr>
        <w:spacing w:after="0" w:line="224" w:lineRule="exact"/>
        <w:rPr>
          <w:sz w:val="20"/>
          <w:szCs w:val="20"/>
          <w:color w:val="auto"/>
        </w:rPr>
      </w:pPr>
    </w:p>
    <w:p>
      <w:pPr>
        <w:ind w:right="420" w:firstLine="648"/>
        <w:spacing w:after="0" w:line="281" w:lineRule="auto"/>
        <w:rPr>
          <w:sz w:val="20"/>
          <w:szCs w:val="20"/>
          <w:color w:val="auto"/>
        </w:rPr>
      </w:pPr>
      <w:r>
        <w:rPr>
          <w:rFonts w:ascii="Times New Roman" w:cs="Times New Roman" w:eastAsia="Times New Roman" w:hAnsi="Times New Roman"/>
          <w:sz w:val="21"/>
          <w:szCs w:val="21"/>
          <w:color w:val="auto"/>
        </w:rPr>
        <w:t>To the extent applicable, Employee confirms and agrees to Employee’s continuing obligations under the Employment Agreement, including, without limitation, following termination of Employee’s employment with Employer. This includes, without limitation, Employee’s continuing obligations under Articles 11 through 16 of the Employment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Protected Disclosures</w:t>
      </w:r>
    </w:p>
    <w:p>
      <w:pPr>
        <w:spacing w:after="0" w:line="224"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Nothing in this Agreement will preclude, prohibit or restrict Employee from (a) communicating with, any federal, state or local administrative or regulatory agency or authority, including but not limited to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(b) participating or cooperating in any investigation conducted by any governmental agency or authority.</w:t>
      </w:r>
    </w:p>
    <w:p>
      <w:pPr>
        <w:spacing w:after="0" w:line="17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21"/>
          <w:szCs w:val="21"/>
          <w:color w:val="auto"/>
        </w:rPr>
        <w:t>Nothing in this Agreement, or any other agreement between the parties, prohibits or is intended in any manner to prohibit, Employee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Employee’s right to receive an award (including, without limitation, a monetary reward) for information provided to the SEC. Employee does not need the prior authorization of anyone at the Company to make any such reports or disclosures, and Employee is not required to notify the Company that Employee has made such reports or disclosures.</w:t>
      </w:r>
    </w:p>
    <w:p>
      <w:pPr>
        <w:spacing w:after="0" w:line="16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Nothing in this Agreement or any other agreement or policy of the Company is intended to interfere with or restrain the immunity provided under 18 U.S.C. §1833(b). Employee cannot be held criminally or civilly liable under any federal or state trade secret law for the disclosure of a trade secret that is made (a) (i) in confidence to federal, state or local government officials, directly or indirectly, or to an attorney, and (ii)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foregoing provisions regarding Protected Disclosures are intended to comply with all applicable laws. If any laws are adopted, amended or repealed after the execution of this Agreement, this Agreement shall be deemed to be amended to reflect the same.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Voluntary Agreement And Effective Date</w:t>
      </w:r>
    </w:p>
    <w:p>
      <w:pPr>
        <w:spacing w:after="0" w:line="22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Employee understands and acknowledges that, by signing this Agreement, Employee is agreeing to all of the provisions stated in this Agreement, and has read and understood each provision.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understand and agree that:</w:t>
      </w:r>
    </w:p>
    <w:p>
      <w:pPr>
        <w:spacing w:after="0" w:line="220" w:lineRule="exact"/>
        <w:rPr>
          <w:sz w:val="20"/>
          <w:szCs w:val="20"/>
          <w:color w:val="auto"/>
        </w:rPr>
      </w:pPr>
    </w:p>
    <w:p>
      <w:pPr>
        <w:ind w:left="660" w:right="40" w:firstLine="648"/>
        <w:spacing w:after="0" w:line="251" w:lineRule="auto"/>
        <w:rPr>
          <w:sz w:val="20"/>
          <w:szCs w:val="20"/>
          <w:color w:val="auto"/>
        </w:rPr>
      </w:pPr>
      <w:r>
        <w:rPr>
          <w:rFonts w:ascii="Times New Roman" w:cs="Times New Roman" w:eastAsia="Times New Roman" w:hAnsi="Times New Roman"/>
          <w:sz w:val="22"/>
          <w:szCs w:val="22"/>
          <w:color w:val="auto"/>
        </w:rPr>
        <w:t>Employee will have a period of 21 calendar days in which to decide whether or not to sign this Agreement, and an additional period of seven calendar days after signing in which to revoke this Agreement. If Employee signs this Agreement before the end of such 21-day period, Employee certifies and agrees that the decision is knowing and voluntary and is not induced by Employer through (i) fraud, misrepresentation, or a threat to withdraw or alter the offer before the end of such 21-day period or (ii) an offer to provide different terms in exchange for signing this Agreement before the end of such 21-day period.</w:t>
      </w:r>
    </w:p>
    <w:p>
      <w:pPr>
        <w:spacing w:after="0" w:line="177" w:lineRule="exact"/>
        <w:rPr>
          <w:sz w:val="20"/>
          <w:szCs w:val="20"/>
          <w:color w:val="auto"/>
        </w:rPr>
      </w:pPr>
    </w:p>
    <w:p>
      <w:pPr>
        <w:ind w:left="660" w:right="420" w:firstLine="648"/>
        <w:spacing w:after="0" w:line="265" w:lineRule="auto"/>
        <w:rPr>
          <w:sz w:val="20"/>
          <w:szCs w:val="20"/>
          <w:color w:val="auto"/>
        </w:rPr>
      </w:pPr>
      <w:r>
        <w:rPr>
          <w:rFonts w:ascii="Times New Roman" w:cs="Times New Roman" w:eastAsia="Times New Roman" w:hAnsi="Times New Roman"/>
          <w:sz w:val="22"/>
          <w:szCs w:val="22"/>
          <w:color w:val="auto"/>
        </w:rPr>
        <w:t xml:space="preserve">In order to exercise this revocation right, Employee must deliver written notice of revocation to </w:t>
      </w:r>
      <w:r>
        <w:rPr>
          <w:rFonts w:ascii="Times New Roman" w:cs="Times New Roman" w:eastAsia="Times New Roman" w:hAnsi="Times New Roman"/>
          <w:sz w:val="22"/>
          <w:szCs w:val="22"/>
          <w:b w:val="1"/>
          <w:bCs w:val="1"/>
          <w:color w:val="auto"/>
        </w:rPr>
        <w:t>[INSERT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COMPANY CONTACT] </w:t>
      </w:r>
      <w:r>
        <w:rPr>
          <w:rFonts w:ascii="Times New Roman" w:cs="Times New Roman" w:eastAsia="Times New Roman" w:hAnsi="Times New Roman"/>
          <w:sz w:val="22"/>
          <w:szCs w:val="22"/>
          <w:color w:val="auto"/>
        </w:rPr>
        <w:t>on or before the seventh calendar day after Employee executes this Agreement.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understands that, upon delivery of such notice, this Agreement will terminate and become null and void.</w:t>
      </w:r>
    </w:p>
    <w:p>
      <w:pPr>
        <w:spacing w:after="0" w:line="165" w:lineRule="exact"/>
        <w:rPr>
          <w:sz w:val="20"/>
          <w:szCs w:val="20"/>
          <w:color w:val="auto"/>
        </w:rPr>
      </w:pPr>
    </w:p>
    <w:p>
      <w:pPr>
        <w:ind w:left="660" w:right="360" w:firstLine="648"/>
        <w:spacing w:after="0" w:line="256" w:lineRule="auto"/>
        <w:rPr>
          <w:sz w:val="20"/>
          <w:szCs w:val="20"/>
          <w:color w:val="auto"/>
        </w:rPr>
      </w:pPr>
      <w:r>
        <w:rPr>
          <w:rFonts w:ascii="Times New Roman" w:cs="Times New Roman" w:eastAsia="Times New Roman" w:hAnsi="Times New Roman"/>
          <w:sz w:val="22"/>
          <w:szCs w:val="22"/>
          <w:color w:val="auto"/>
        </w:rPr>
        <w:t>The terms of this Agreement will not take effect or become binding, and Employee will not become entitled to receive the Severance Payments, until that seven-day period has lapsed without revocation by Employee. If Employee elects not to sign this Agreement or revokes it within seven calendar days of signing, Employee will not receive the Severance Payments.</w:t>
      </w:r>
    </w:p>
    <w:p>
      <w:pPr>
        <w:spacing w:after="0" w:line="176" w:lineRule="exact"/>
        <w:rPr>
          <w:sz w:val="20"/>
          <w:szCs w:val="20"/>
          <w:color w:val="auto"/>
        </w:rPr>
      </w:pPr>
    </w:p>
    <w:p>
      <w:pPr>
        <w:ind w:left="660" w:right="940" w:firstLine="648"/>
        <w:spacing w:after="0" w:line="271" w:lineRule="auto"/>
        <w:rPr>
          <w:sz w:val="20"/>
          <w:szCs w:val="20"/>
          <w:color w:val="auto"/>
        </w:rPr>
      </w:pPr>
      <w:r>
        <w:rPr>
          <w:rFonts w:ascii="Times New Roman" w:cs="Times New Roman" w:eastAsia="Times New Roman" w:hAnsi="Times New Roman"/>
          <w:sz w:val="22"/>
          <w:szCs w:val="22"/>
          <w:color w:val="auto"/>
        </w:rPr>
        <w:t>All amounts payable hereunder will be paid in accordance with the applicable terms of the Employment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22"/>
          <w:szCs w:val="22"/>
          <w:color w:val="auto"/>
        </w:rPr>
        <w:t>This Agreement will be governed by the substantive laws of the State of [Nevada], without regard to conflicts of law, and by federal law where applicable.</w:t>
      </w:r>
    </w:p>
    <w:p>
      <w:pPr>
        <w:spacing w:after="0" w:line="14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If any part of this Agreement is held to be invalid or unenforceable, the remaining provisions of this Agreement will not be affected in any way.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Consultation With Attorney</w:t>
      </w:r>
    </w:p>
    <w:p>
      <w:pPr>
        <w:spacing w:after="0" w:line="224" w:lineRule="exact"/>
        <w:rPr>
          <w:sz w:val="20"/>
          <w:szCs w:val="20"/>
          <w:color w:val="auto"/>
        </w:rPr>
      </w:pPr>
    </w:p>
    <w:p>
      <w:pPr>
        <w:ind w:right="760" w:firstLine="648"/>
        <w:spacing w:after="0" w:line="271" w:lineRule="auto"/>
        <w:rPr>
          <w:sz w:val="20"/>
          <w:szCs w:val="20"/>
          <w:color w:val="auto"/>
        </w:rPr>
      </w:pPr>
      <w:r>
        <w:rPr>
          <w:rFonts w:ascii="Times New Roman" w:cs="Times New Roman" w:eastAsia="Times New Roman" w:hAnsi="Times New Roman"/>
          <w:sz w:val="22"/>
          <w:szCs w:val="22"/>
          <w:color w:val="auto"/>
        </w:rPr>
        <w:t>Employee is hereby encouraged and advised to confer with an attorney regarding this Agreement. By signing this Agreement, Employee acknowledges that Employee has consulted,</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19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or had an opportunity to consult with, an attorney or a representative of Employee’s choosing, if any, and that Employee is not relying on any advice from Employer or its agents or attorneys in executing this Agreement.</w:t>
      </w:r>
    </w:p>
    <w:p>
      <w:pPr>
        <w:spacing w:after="0" w:line="154" w:lineRule="exact"/>
        <w:rPr>
          <w:sz w:val="20"/>
          <w:szCs w:val="20"/>
          <w:color w:val="auto"/>
        </w:rPr>
      </w:pPr>
    </w:p>
    <w:p>
      <w:pPr>
        <w:ind w:right="220" w:firstLine="648"/>
        <w:spacing w:after="0" w:line="287" w:lineRule="auto"/>
        <w:rPr>
          <w:sz w:val="20"/>
          <w:szCs w:val="20"/>
          <w:color w:val="auto"/>
        </w:rPr>
      </w:pPr>
      <w:r>
        <w:rPr>
          <w:rFonts w:ascii="Times New Roman" w:cs="Times New Roman" w:eastAsia="Times New Roman" w:hAnsi="Times New Roman"/>
          <w:sz w:val="22"/>
          <w:szCs w:val="22"/>
          <w:color w:val="auto"/>
        </w:rPr>
        <w:t xml:space="preserve">This Agreement was provided to Employee for consideration on </w:t>
      </w:r>
      <w:r>
        <w:rPr>
          <w:rFonts w:ascii="Times New Roman" w:cs="Times New Roman" w:eastAsia="Times New Roman" w:hAnsi="Times New Roman"/>
          <w:sz w:val="22"/>
          <w:szCs w:val="22"/>
          <w:b w:val="1"/>
          <w:bCs w:val="1"/>
          <w:color w:val="auto"/>
        </w:rPr>
        <w:t>[INSERT DATE THIS AGREEMENT 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 EMPLOYEE].</w:t>
      </w:r>
    </w:p>
    <w:p>
      <w:pPr>
        <w:spacing w:after="0" w:line="1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PLEASE READ THIS AGREEMENT CAREFULLY; IT CONTAINS A RELEASE OF ALL KNOWN AND UNKNOWN CLAIMS.</w:t>
      </w:r>
    </w:p>
    <w:p>
      <w:pPr>
        <w:spacing w:after="0" w:line="1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Employee certifies that Employee has read this Agreement and fully and completely understands and comprehends its meaning, purpose, and effect. Employee further states and confirms that Employee has signed this Agreement knowingly and voluntarily and of Employee’s own free will, and not as a result of any threat, intimidation or coercion on the part of Employer or its representatives or agents.</w:t>
      </w:r>
    </w:p>
    <w:p>
      <w:pPr>
        <w:spacing w:after="0" w:line="19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-13970</wp:posOffset>
            </wp:positionV>
            <wp:extent cx="6858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-13970</wp:posOffset>
            </wp:positionV>
            <wp:extent cx="6858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2"/>
          <w:szCs w:val="22"/>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auto"/>
        </w:rPr>
        <w:t>Caesars Entertainment, Inc.</w:t>
      </w:r>
    </w:p>
    <w:p>
      <w:pPr>
        <w:spacing w:after="0" w:line="20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auto"/>
        </w:rPr>
        <w:t>Code of Ethics and Business Conduct</w:t>
      </w:r>
    </w:p>
    <w:p>
      <w:pPr>
        <w:spacing w:after="0" w:line="224" w:lineRule="exact"/>
        <w:rPr>
          <w:sz w:val="20"/>
          <w:szCs w:val="20"/>
          <w:color w:val="auto"/>
        </w:rPr>
      </w:pPr>
    </w:p>
    <w:p>
      <w:pPr>
        <w:ind w:left="4" w:right="140" w:firstLine="648"/>
        <w:spacing w:after="0" w:line="209" w:lineRule="auto"/>
        <w:rPr>
          <w:sz w:val="20"/>
          <w:szCs w:val="20"/>
          <w:color w:val="auto"/>
        </w:rPr>
      </w:pPr>
      <w:r>
        <w:rPr>
          <w:rFonts w:ascii="Times New Roman" w:cs="Times New Roman" w:eastAsia="Times New Roman" w:hAnsi="Times New Roman"/>
          <w:sz w:val="22"/>
          <w:szCs w:val="22"/>
          <w:color w:val="auto"/>
        </w:rPr>
        <w:t xml:space="preserve">This Code of Ethics and Business Conduct, which includes our Conflicts of Interest Policy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(collectively, the “Code”), embodies the commitment of Caesars Entertainment, Inc. and its subsidiaries (the “Company”) to conduct business in accordance with all applicable laws, rules and regulations, and ethical standards. All employees, officers, and members of the Caesars Entertainment, Inc. Board of Directors (the “Board”) are expected to adhere to those principals and procedures set forth in the Code that apply to them.</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We also expect the consultants that we retain generally to abide by the Code.</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The Code includes standards that are designed to deter wrongdoing and to promote:</w:t>
      </w:r>
    </w:p>
    <w:p>
      <w:pPr>
        <w:spacing w:after="0" w:line="220" w:lineRule="exact"/>
        <w:rPr>
          <w:sz w:val="20"/>
          <w:szCs w:val="20"/>
          <w:color w:val="auto"/>
        </w:rPr>
      </w:pPr>
    </w:p>
    <w:p>
      <w:pPr>
        <w:ind w:left="1944" w:right="600" w:hanging="648"/>
        <w:spacing w:after="0" w:line="236"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Honest and ethical conduct, including the ethical handling of actual or apparent conflicts of interest between personal and professional relationships;</w:t>
      </w:r>
    </w:p>
    <w:p>
      <w:pPr>
        <w:spacing w:after="0" w:line="190" w:lineRule="exact"/>
        <w:rPr>
          <w:rFonts w:ascii="Times New Roman" w:cs="Times New Roman" w:eastAsia="Times New Roman" w:hAnsi="Times New Roman"/>
          <w:sz w:val="22"/>
          <w:szCs w:val="22"/>
          <w:color w:val="auto"/>
        </w:rPr>
      </w:pPr>
    </w:p>
    <w:p>
      <w:pPr>
        <w:ind w:left="1944" w:right="440" w:hanging="648"/>
        <w:spacing w:after="0" w:line="225"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fair, accurate, timely, and understandable disclosure in reports and documents that the Company files with, or submits to, the Securities and Exchange Commission (the “SEC”) and in other public communications made by the Company;</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applicable governmental laws, rules and regulations;</w:t>
      </w:r>
    </w:p>
    <w:p>
      <w:pPr>
        <w:spacing w:after="0" w:line="219" w:lineRule="exact"/>
        <w:rPr>
          <w:rFonts w:ascii="Times New Roman" w:cs="Times New Roman" w:eastAsia="Times New Roman" w:hAnsi="Times New Roman"/>
          <w:sz w:val="22"/>
          <w:szCs w:val="22"/>
          <w:color w:val="auto"/>
        </w:rPr>
      </w:pPr>
    </w:p>
    <w:p>
      <w:pPr>
        <w:ind w:left="1944" w:right="440" w:hanging="648"/>
        <w:spacing w:after="0" w:line="236"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prompt internal reporting of violations of the Code to an appropriate person or persons identified in the Code; and</w:t>
      </w:r>
    </w:p>
    <w:p>
      <w:pPr>
        <w:spacing w:after="0" w:line="190"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Accountability for adherence to the Code.</w:t>
      </w:r>
    </w:p>
    <w:p>
      <w:pPr>
        <w:spacing w:after="0" w:line="202"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auto"/>
        </w:rPr>
        <w:t>Section I</w:t>
      </w:r>
    </w:p>
    <w:p>
      <w:pPr>
        <w:spacing w:after="0" w:line="220" w:lineRule="exact"/>
        <w:rPr>
          <w:sz w:val="20"/>
          <w:szCs w:val="20"/>
          <w:color w:val="auto"/>
        </w:rPr>
      </w:pPr>
    </w:p>
    <w:p>
      <w:pPr>
        <w:ind w:left="644" w:hanging="644"/>
        <w:spacing w:after="0"/>
        <w:tabs>
          <w:tab w:leader="none" w:pos="64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Implementation and Oversight of The Code</w:t>
      </w:r>
    </w:p>
    <w:p>
      <w:pPr>
        <w:spacing w:after="0" w:line="224" w:lineRule="exact"/>
        <w:rPr>
          <w:sz w:val="20"/>
          <w:szCs w:val="20"/>
          <w:color w:val="auto"/>
        </w:rPr>
      </w:pPr>
    </w:p>
    <w:p>
      <w:pPr>
        <w:ind w:left="4" w:right="280" w:firstLine="648"/>
        <w:spacing w:after="0" w:line="215" w:lineRule="auto"/>
        <w:rPr>
          <w:sz w:val="20"/>
          <w:szCs w:val="20"/>
          <w:color w:val="auto"/>
        </w:rPr>
      </w:pPr>
      <w:r>
        <w:rPr>
          <w:rFonts w:ascii="Times New Roman" w:cs="Times New Roman" w:eastAsia="Times New Roman" w:hAnsi="Times New Roman"/>
          <w:sz w:val="22"/>
          <w:szCs w:val="22"/>
          <w:color w:val="auto"/>
        </w:rPr>
        <w:t>The Board is ultimately responsible for the implementation of the Code. The Board has designated the Company’s Chief Legal Officer to be the compliance officer (such person, or such other person as the Board may subsequently designate as the compliance officer, the “Compliance Officer”) for the implementation and administration of the Code, provided, however, that notwithstanding any provision to the contrary in this Code, any matter submitted to the Audit Committee of the Board pursuant to the Company’s Whistleblower Hotline Policy and Procedures shall not be reviewed or otherwise administered by the Compliance Officer unless so directed by the Audit Committee.</w:t>
      </w:r>
    </w:p>
    <w:p>
      <w:pPr>
        <w:spacing w:after="0" w:line="1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Questions regarding the application or interpretation of the Code are inevitable.</w:t>
      </w:r>
    </w:p>
    <w:p>
      <w:pPr>
        <w:ind w:left="4"/>
        <w:spacing w:after="0"/>
        <w:rPr>
          <w:sz w:val="20"/>
          <w:szCs w:val="20"/>
          <w:color w:val="auto"/>
        </w:rPr>
      </w:pPr>
      <w:r>
        <w:rPr>
          <w:rFonts w:ascii="Times New Roman" w:cs="Times New Roman" w:eastAsia="Times New Roman" w:hAnsi="Times New Roman"/>
          <w:sz w:val="22"/>
          <w:szCs w:val="22"/>
          <w:color w:val="auto"/>
        </w:rPr>
        <w:t>Directors, officers, employees and consultants of the Company should direct all questions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24"/>
          </w:cols>
          <w:pgMar w:left="436" w:top="94" w:right="339" w:bottom="1440" w:gutter="0" w:footer="0" w:header="0"/>
        </w:sectPr>
      </w:pPr>
    </w:p>
    <w:bookmarkStart w:id="227" w:name="page228"/>
    <w:bookmarkEnd w:id="227"/>
    <w:p>
      <w:pPr>
        <w:ind w:left="5" w:right="160" w:firstLine="648"/>
        <w:spacing w:after="0" w:line="236" w:lineRule="auto"/>
        <w:rPr>
          <w:sz w:val="20"/>
          <w:szCs w:val="20"/>
          <w:color w:val="auto"/>
        </w:rPr>
      </w:pPr>
      <w:r>
        <w:rPr>
          <w:rFonts w:ascii="Times New Roman" w:cs="Times New Roman" w:eastAsia="Times New Roman" w:hAnsi="Times New Roman"/>
          <w:sz w:val="22"/>
          <w:szCs w:val="22"/>
          <w:color w:val="auto"/>
        </w:rPr>
        <w:t>The Code, and all amendments of the Code, will be included in the Company’s periodic filings with the SEC and will be available on the Company’s website.</w:t>
      </w:r>
    </w:p>
    <w:p>
      <w:pPr>
        <w:spacing w:after="0" w:line="177" w:lineRule="exact"/>
        <w:rPr>
          <w:sz w:val="20"/>
          <w:szCs w:val="20"/>
          <w:color w:val="auto"/>
        </w:rPr>
      </w:pPr>
    </w:p>
    <w:p>
      <w:pPr>
        <w:ind w:left="5" w:right="220" w:firstLine="648"/>
        <w:spacing w:after="0" w:line="225" w:lineRule="auto"/>
        <w:rPr>
          <w:sz w:val="20"/>
          <w:szCs w:val="20"/>
          <w:color w:val="auto"/>
        </w:rPr>
      </w:pPr>
      <w:r>
        <w:rPr>
          <w:rFonts w:ascii="Times New Roman" w:cs="Times New Roman" w:eastAsia="Times New Roman" w:hAnsi="Times New Roman"/>
          <w:sz w:val="22"/>
          <w:szCs w:val="22"/>
          <w:color w:val="auto"/>
        </w:rPr>
        <w:t>Statements in the Code to the effect that certain actions may be taken only with the “Company’s approval” mean that the Compliance Officer must give prior written approval before the proposed action may be undertaken. The Compliance Officer will act in a manner that is consistent with the requirements and spirit of the Code.</w:t>
      </w:r>
    </w:p>
    <w:p>
      <w:pPr>
        <w:spacing w:after="0" w:line="193" w:lineRule="exact"/>
        <w:rPr>
          <w:sz w:val="20"/>
          <w:szCs w:val="20"/>
          <w:color w:val="auto"/>
        </w:rPr>
      </w:pPr>
    </w:p>
    <w:p>
      <w:pPr>
        <w:ind w:left="5" w:right="60" w:firstLine="648"/>
        <w:spacing w:after="0" w:line="225" w:lineRule="auto"/>
        <w:rPr>
          <w:sz w:val="20"/>
          <w:szCs w:val="20"/>
          <w:color w:val="auto"/>
        </w:rPr>
      </w:pPr>
      <w:r>
        <w:rPr>
          <w:rFonts w:ascii="Times New Roman" w:cs="Times New Roman" w:eastAsia="Times New Roman" w:hAnsi="Times New Roman"/>
          <w:sz w:val="22"/>
          <w:szCs w:val="22"/>
          <w:color w:val="auto"/>
        </w:rPr>
        <w:t>The Code should be read in conjunction with the Company’s other policy statements, including, without limitation, the Company’s Whistleblower Hotline Policy and Procedures, Conflicts of Interest Policy, Company’s Securities Trading Policy and Gaming Compliance Policy.</w:t>
      </w:r>
    </w:p>
    <w:p>
      <w:pPr>
        <w:spacing w:after="0" w:line="261" w:lineRule="exact"/>
        <w:rPr>
          <w:sz w:val="20"/>
          <w:szCs w:val="20"/>
          <w:color w:val="auto"/>
        </w:rPr>
      </w:pPr>
    </w:p>
    <w:p>
      <w:pPr>
        <w:ind w:left="5" w:firstLine="648"/>
        <w:spacing w:after="0" w:line="236" w:lineRule="auto"/>
        <w:rPr>
          <w:sz w:val="20"/>
          <w:szCs w:val="20"/>
          <w:color w:val="auto"/>
        </w:rPr>
      </w:pPr>
      <w:r>
        <w:rPr>
          <w:rFonts w:ascii="Times New Roman" w:cs="Times New Roman" w:eastAsia="Times New Roman" w:hAnsi="Times New Roman"/>
          <w:sz w:val="22"/>
          <w:szCs w:val="22"/>
          <w:color w:val="auto"/>
        </w:rPr>
        <w:t>Periodic training may be provided regarding the contents and importance of the Code and related policy statements and the manner in which violations must be reported and waivers must be requested.</w:t>
      </w:r>
    </w:p>
    <w:p>
      <w:pPr>
        <w:spacing w:after="0" w:line="187" w:lineRule="exact"/>
        <w:rPr>
          <w:sz w:val="20"/>
          <w:szCs w:val="20"/>
          <w:color w:val="auto"/>
        </w:rPr>
      </w:pPr>
    </w:p>
    <w:p>
      <w:pPr>
        <w:ind w:left="645" w:hanging="645"/>
        <w:spacing w:after="0"/>
        <w:tabs>
          <w:tab w:leader="none" w:pos="645"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Honest and Ethical Conduct</w:t>
      </w:r>
    </w:p>
    <w:p>
      <w:pPr>
        <w:spacing w:after="0" w:line="210" w:lineRule="exact"/>
        <w:rPr>
          <w:sz w:val="20"/>
          <w:szCs w:val="20"/>
          <w:color w:val="auto"/>
        </w:rPr>
      </w:pPr>
    </w:p>
    <w:p>
      <w:pPr>
        <w:ind w:left="5" w:right="220" w:firstLine="648"/>
        <w:spacing w:after="0" w:line="217" w:lineRule="auto"/>
        <w:rPr>
          <w:sz w:val="20"/>
          <w:szCs w:val="20"/>
          <w:color w:val="auto"/>
        </w:rPr>
      </w:pPr>
      <w:r>
        <w:rPr>
          <w:rFonts w:ascii="Times New Roman" w:cs="Times New Roman" w:eastAsia="Times New Roman" w:hAnsi="Times New Roman"/>
          <w:sz w:val="22"/>
          <w:szCs w:val="22"/>
          <w:color w:val="auto"/>
        </w:rPr>
        <w:t>One person’s dishonest or unethical conduct can harm the Company’s reputation and compromise the trust that the public and our shareholders have in the Company. For that reason, each director, officer, employee and consultant must be familiar with and comply with the Code. Compliance with the Code - and therefore all laws and regulations - forms the foundation of honest and ethical conduct. Accordingly, compliance with the Code is not simply expected; it is mandatory. In addition, the Company expects that directors, officers, employees and consultants of the Company will:</w:t>
      </w:r>
    </w:p>
    <w:p>
      <w:pPr>
        <w:spacing w:after="0" w:line="193" w:lineRule="exact"/>
        <w:rPr>
          <w:sz w:val="20"/>
          <w:szCs w:val="20"/>
          <w:color w:val="auto"/>
        </w:rPr>
      </w:pPr>
    </w:p>
    <w:p>
      <w:pPr>
        <w:ind w:left="645" w:hanging="321"/>
        <w:spacing w:after="0"/>
        <w:tabs>
          <w:tab w:leader="none" w:pos="645" w:val="left"/>
        </w:tabs>
        <w:numPr>
          <w:ilvl w:val="0"/>
          <w:numId w:val="10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Establish an example by their behavior as a model for others subject to the Code.</w:t>
      </w:r>
    </w:p>
    <w:p>
      <w:pPr>
        <w:spacing w:after="0" w:line="174" w:lineRule="exact"/>
        <w:rPr>
          <w:rFonts w:ascii="Courier New" w:cs="Courier New" w:eastAsia="Courier New" w:hAnsi="Courier New"/>
          <w:sz w:val="22"/>
          <w:szCs w:val="22"/>
          <w:color w:val="auto"/>
        </w:rPr>
      </w:pPr>
    </w:p>
    <w:p>
      <w:pPr>
        <w:ind w:left="645" w:right="440" w:hanging="321"/>
        <w:spacing w:after="0" w:line="266" w:lineRule="auto"/>
        <w:tabs>
          <w:tab w:leader="none" w:pos="639" w:val="left"/>
        </w:tabs>
        <w:numPr>
          <w:ilvl w:val="0"/>
          <w:numId w:val="10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Sustain a culture where honest and ethical conduct is recognized, valued and exemplified by all directors, officers, employees, consultants and other representatives of the Company.</w:t>
      </w:r>
    </w:p>
    <w:p>
      <w:pPr>
        <w:spacing w:after="0" w:line="174" w:lineRule="exact"/>
        <w:rPr>
          <w:rFonts w:ascii="Courier New" w:cs="Courier New" w:eastAsia="Courier New" w:hAnsi="Courier New"/>
          <w:sz w:val="22"/>
          <w:szCs w:val="22"/>
          <w:color w:val="auto"/>
        </w:rPr>
      </w:pPr>
    </w:p>
    <w:p>
      <w:pPr>
        <w:ind w:left="645" w:right="360" w:hanging="321"/>
        <w:spacing w:after="0" w:line="253" w:lineRule="auto"/>
        <w:tabs>
          <w:tab w:leader="none" w:pos="639" w:val="left"/>
        </w:tabs>
        <w:numPr>
          <w:ilvl w:val="0"/>
          <w:numId w:val="10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Personally participate in, and where applicable, lead compliance efforts through meetings with others subject to the Code and monitor compliance matters and programs.</w:t>
      </w:r>
    </w:p>
    <w:p>
      <w:pPr>
        <w:spacing w:after="0" w:line="189" w:lineRule="exact"/>
        <w:rPr>
          <w:rFonts w:ascii="Courier New" w:cs="Courier New" w:eastAsia="Courier New" w:hAnsi="Courier New"/>
          <w:sz w:val="22"/>
          <w:szCs w:val="22"/>
          <w:color w:val="auto"/>
        </w:rPr>
      </w:pPr>
    </w:p>
    <w:p>
      <w:pPr>
        <w:ind w:left="645" w:hanging="321"/>
        <w:spacing w:after="0"/>
        <w:tabs>
          <w:tab w:leader="none" w:pos="645" w:val="left"/>
        </w:tabs>
        <w:numPr>
          <w:ilvl w:val="0"/>
          <w:numId w:val="10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Raise and encourage others to raise concerns and questions about ethical conduct and integrity.</w:t>
      </w:r>
    </w:p>
    <w:p>
      <w:pPr>
        <w:spacing w:after="0" w:line="215" w:lineRule="exact"/>
        <w:rPr>
          <w:sz w:val="20"/>
          <w:szCs w:val="20"/>
          <w:color w:val="auto"/>
        </w:rPr>
      </w:pPr>
    </w:p>
    <w:p>
      <w:pPr>
        <w:ind w:left="5" w:right="3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The Company will take such disciplinary or preventive action as it deems appropriate to address any existing or potential violation of the Code brought to its attention. The Company’s Conflicts of Interest Policy, which is attached to the Code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is an integral part of the Code and all Company directors, officers, employees and consultants should conduct themselves in accordance with its requirements and spirit.</w:t>
      </w:r>
    </w:p>
    <w:p>
      <w:pPr>
        <w:spacing w:after="0" w:line="193" w:lineRule="exact"/>
        <w:rPr>
          <w:sz w:val="20"/>
          <w:szCs w:val="20"/>
          <w:color w:val="auto"/>
        </w:rPr>
      </w:pPr>
    </w:p>
    <w:p>
      <w:pPr>
        <w:jc w:val="both"/>
        <w:ind w:left="5" w:right="300" w:firstLine="648"/>
        <w:spacing w:after="0" w:line="225" w:lineRule="auto"/>
        <w:rPr>
          <w:sz w:val="20"/>
          <w:szCs w:val="20"/>
          <w:color w:val="auto"/>
        </w:rPr>
      </w:pPr>
      <w:r>
        <w:rPr>
          <w:rFonts w:ascii="Times New Roman" w:cs="Times New Roman" w:eastAsia="Times New Roman" w:hAnsi="Times New Roman"/>
          <w:sz w:val="22"/>
          <w:szCs w:val="22"/>
          <w:color w:val="auto"/>
        </w:rPr>
        <w:t>A personal conflict of interest occurs when an individual’s private interest improperly interferes with the interests of the Company. Personal conflicts of interest are prohibited as a matter of Company policy, unless they have been approved by the Company. In particular,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65"/>
          </w:cols>
          <w:pgMar w:left="435" w:top="1395" w:right="499" w:bottom="1440" w:gutter="0" w:footer="0" w:header="0"/>
        </w:sectPr>
      </w:pPr>
    </w:p>
    <w:bookmarkStart w:id="228" w:name="page229"/>
    <w:bookmarkEnd w:id="228"/>
    <w:p>
      <w:pPr>
        <w:ind w:left="4"/>
        <w:spacing w:after="0" w:line="215" w:lineRule="auto"/>
        <w:rPr>
          <w:sz w:val="20"/>
          <w:szCs w:val="20"/>
          <w:color w:val="auto"/>
        </w:rPr>
      </w:pPr>
      <w:r>
        <w:rPr>
          <w:rFonts w:ascii="Times New Roman" w:cs="Times New Roman" w:eastAsia="Times New Roman" w:hAnsi="Times New Roman"/>
          <w:sz w:val="22"/>
          <w:szCs w:val="22"/>
          <w:color w:val="auto"/>
        </w:rPr>
        <w:t>director, officer, employee, or consultant must never use his or her position with the Company to obtain any improper personal benefit for himself or herself, for his or her family members, or for any other person, including loans or guarantees of obligations, from any person or entity, provided, however, that the Code is not intended to prohibit doing business with vendors, service providers, licensed lenders and the like who do business with the Company, so long as one does not exploit his or her position with the Company to obtain preferential treatment and so long as any such actions are not in violation of any applicable law or regulation (including, without limitation, SEC and Nasdaq rules).</w:t>
      </w:r>
    </w:p>
    <w:p>
      <w:pPr>
        <w:spacing w:after="0" w:line="1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Service to the Company should never be subordinated to personal gain and advantage.</w:t>
      </w:r>
    </w:p>
    <w:p>
      <w:pPr>
        <w:ind w:left="4"/>
        <w:spacing w:after="0"/>
        <w:rPr>
          <w:sz w:val="20"/>
          <w:szCs w:val="20"/>
          <w:color w:val="auto"/>
        </w:rPr>
      </w:pPr>
      <w:r>
        <w:rPr>
          <w:rFonts w:ascii="Times New Roman" w:cs="Times New Roman" w:eastAsia="Times New Roman" w:hAnsi="Times New Roman"/>
          <w:sz w:val="22"/>
          <w:szCs w:val="22"/>
          <w:color w:val="auto"/>
        </w:rPr>
        <w:t>Conflicts of interest, unless properly waived by the Company, must be avoided.</w:t>
      </w:r>
    </w:p>
    <w:p>
      <w:pPr>
        <w:spacing w:after="0" w:line="196" w:lineRule="exact"/>
        <w:rPr>
          <w:sz w:val="20"/>
          <w:szCs w:val="20"/>
          <w:color w:val="auto"/>
        </w:rPr>
      </w:pPr>
    </w:p>
    <w:p>
      <w:pPr>
        <w:ind w:left="4" w:right="280" w:firstLine="648"/>
        <w:spacing w:after="0" w:line="220" w:lineRule="auto"/>
        <w:rPr>
          <w:sz w:val="20"/>
          <w:szCs w:val="20"/>
          <w:color w:val="auto"/>
        </w:rPr>
      </w:pPr>
      <w:r>
        <w:rPr>
          <w:rFonts w:ascii="Times New Roman" w:cs="Times New Roman" w:eastAsia="Times New Roman" w:hAnsi="Times New Roman"/>
          <w:sz w:val="22"/>
          <w:szCs w:val="22"/>
          <w:color w:val="auto"/>
        </w:rPr>
        <w:t>Any director, officer, employee or consultant who is aware of a transaction or relationship that could reasonably be expected to give rise to a conflict of interest should disclose and discuss the matter fully and promptly with the Compliance Officer, provided however, that alternatively, any complaint may be reported anonymously as provided by the Company’s Whistleblower Policy and Procedures referenced herein.</w:t>
      </w:r>
    </w:p>
    <w:p>
      <w:pPr>
        <w:spacing w:after="0" w:line="175" w:lineRule="exact"/>
        <w:rPr>
          <w:sz w:val="20"/>
          <w:szCs w:val="20"/>
          <w:color w:val="auto"/>
        </w:rPr>
      </w:pPr>
    </w:p>
    <w:p>
      <w:pPr>
        <w:ind w:left="644" w:hanging="644"/>
        <w:spacing w:after="0"/>
        <w:tabs>
          <w:tab w:leader="none" w:pos="644"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Fair, Accurate, Timely and Understandable Public Disclosure</w:t>
      </w:r>
    </w:p>
    <w:p>
      <w:pPr>
        <w:spacing w:after="0" w:line="224" w:lineRule="exact"/>
        <w:rPr>
          <w:sz w:val="20"/>
          <w:szCs w:val="20"/>
          <w:color w:val="auto"/>
        </w:rPr>
      </w:pPr>
    </w:p>
    <w:p>
      <w:pPr>
        <w:ind w:left="4" w:right="100" w:firstLine="648"/>
        <w:spacing w:after="0" w:line="213" w:lineRule="auto"/>
        <w:rPr>
          <w:sz w:val="20"/>
          <w:szCs w:val="20"/>
          <w:color w:val="auto"/>
        </w:rPr>
      </w:pPr>
      <w:r>
        <w:rPr>
          <w:rFonts w:ascii="Times New Roman" w:cs="Times New Roman" w:eastAsia="Times New Roman" w:hAnsi="Times New Roman"/>
          <w:sz w:val="22"/>
          <w:szCs w:val="22"/>
          <w:color w:val="auto"/>
        </w:rPr>
        <w:t>It is the Company’s policy that the information in its public communications, including SEC filings, be full, fair, accurate, timely, and understandable. All directors, officers, employees and consultants who are involved in the Company’s disclosure process are responsible for acting in furtherance of this policy. In particular, these individuals are required to maintain familiarity with the disclosure requirements applicable to the Company and are prohibited from knowingly misrepresenting, omitting, or causing others to misrepresent or omit, material facts about the Company to others, whether within or outside the Company, including the Company’s independent auditors. Our disclosures should comply with the letter and the spirit of applicable law.</w:t>
      </w:r>
    </w:p>
    <w:p>
      <w:pPr>
        <w:spacing w:after="0" w:line="26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All directors, officers, employees and consultants must follow these guidelines:</w:t>
      </w:r>
    </w:p>
    <w:p>
      <w:pPr>
        <w:spacing w:after="0" w:line="220" w:lineRule="exact"/>
        <w:rPr>
          <w:sz w:val="20"/>
          <w:szCs w:val="20"/>
          <w:color w:val="auto"/>
        </w:rPr>
      </w:pPr>
    </w:p>
    <w:p>
      <w:pPr>
        <w:ind w:left="644" w:hanging="320"/>
        <w:spacing w:after="0"/>
        <w:tabs>
          <w:tab w:leader="none" w:pos="644" w:val="left"/>
        </w:tabs>
        <w:numPr>
          <w:ilvl w:val="0"/>
          <w:numId w:val="10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Act honestly, ethically and with integrity.</w:t>
      </w:r>
    </w:p>
    <w:p>
      <w:pPr>
        <w:spacing w:after="0" w:line="160" w:lineRule="exact"/>
        <w:rPr>
          <w:rFonts w:ascii="Courier New" w:cs="Courier New" w:eastAsia="Courier New" w:hAnsi="Courier New"/>
          <w:sz w:val="22"/>
          <w:szCs w:val="22"/>
          <w:color w:val="auto"/>
        </w:rPr>
      </w:pPr>
    </w:p>
    <w:p>
      <w:pPr>
        <w:ind w:left="644" w:hanging="320"/>
        <w:spacing w:after="0"/>
        <w:tabs>
          <w:tab w:leader="none" w:pos="644" w:val="left"/>
        </w:tabs>
        <w:numPr>
          <w:ilvl w:val="0"/>
          <w:numId w:val="10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Comply with the Code.</w:t>
      </w:r>
    </w:p>
    <w:p>
      <w:pPr>
        <w:spacing w:after="0" w:line="174" w:lineRule="exact"/>
        <w:rPr>
          <w:rFonts w:ascii="Courier New" w:cs="Courier New" w:eastAsia="Courier New" w:hAnsi="Courier New"/>
          <w:sz w:val="22"/>
          <w:szCs w:val="22"/>
          <w:color w:val="auto"/>
        </w:rPr>
      </w:pPr>
    </w:p>
    <w:p>
      <w:pPr>
        <w:ind w:left="644" w:right="820" w:hanging="320"/>
        <w:spacing w:after="0" w:line="253" w:lineRule="auto"/>
        <w:tabs>
          <w:tab w:leader="none" w:pos="639" w:val="left"/>
        </w:tabs>
        <w:numPr>
          <w:ilvl w:val="0"/>
          <w:numId w:val="10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Endeavor to ensure full, fair, timely, accurate and understandable disclosure in the Company’s filings with the SEC.</w:t>
      </w:r>
    </w:p>
    <w:p>
      <w:pPr>
        <w:spacing w:after="0" w:line="189" w:lineRule="exact"/>
        <w:rPr>
          <w:rFonts w:ascii="Courier New" w:cs="Courier New" w:eastAsia="Courier New" w:hAnsi="Courier New"/>
          <w:sz w:val="22"/>
          <w:szCs w:val="22"/>
          <w:color w:val="auto"/>
        </w:rPr>
      </w:pPr>
    </w:p>
    <w:p>
      <w:pPr>
        <w:ind w:left="644" w:right="880" w:hanging="320"/>
        <w:spacing w:after="0" w:line="248" w:lineRule="auto"/>
        <w:tabs>
          <w:tab w:leader="none" w:pos="639" w:val="left"/>
        </w:tabs>
        <w:numPr>
          <w:ilvl w:val="0"/>
          <w:numId w:val="10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Through communication, make sure that others at the Company understand the Company’s obligations to the public and under the law with respect to its disclosures, including that results are never more important than compliance with the law.</w:t>
      </w:r>
    </w:p>
    <w:p>
      <w:pPr>
        <w:spacing w:after="0" w:line="195" w:lineRule="exact"/>
        <w:rPr>
          <w:rFonts w:ascii="Courier New" w:cs="Courier New" w:eastAsia="Courier New" w:hAnsi="Courier New"/>
          <w:sz w:val="22"/>
          <w:szCs w:val="22"/>
          <w:color w:val="auto"/>
        </w:rPr>
      </w:pPr>
    </w:p>
    <w:p>
      <w:pPr>
        <w:ind w:left="644" w:right="1800" w:hanging="320"/>
        <w:spacing w:after="0" w:line="253" w:lineRule="auto"/>
        <w:tabs>
          <w:tab w:leader="none" w:pos="639" w:val="left"/>
        </w:tabs>
        <w:numPr>
          <w:ilvl w:val="0"/>
          <w:numId w:val="10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Encourage others at the Company to raise questions and concerns regarding the Company’s public disclosures and ensure that such questions and concerns are appropriately addressed.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44"/>
          </w:cols>
          <w:pgMar w:left="436" w:top="1395" w:right="519" w:bottom="1440" w:gutter="0" w:footer="0" w:header="0"/>
        </w:sectPr>
      </w:pPr>
    </w:p>
    <w:bookmarkStart w:id="229" w:name="page230"/>
    <w:bookmarkEnd w:id="229"/>
    <w:p>
      <w:pPr>
        <w:spacing w:after="0" w:line="212" w:lineRule="exact"/>
        <w:rPr>
          <w:sz w:val="20"/>
          <w:szCs w:val="20"/>
          <w:color w:val="auto"/>
        </w:rPr>
      </w:pPr>
    </w:p>
    <w:p>
      <w:pPr>
        <w:ind w:left="645" w:right="520" w:hanging="320"/>
        <w:spacing w:after="0" w:line="248" w:lineRule="auto"/>
        <w:tabs>
          <w:tab w:leader="none" w:pos="639" w:val="left"/>
        </w:tabs>
        <w:numPr>
          <w:ilvl w:val="1"/>
          <w:numId w:val="10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Provide the Company’s directors, officers, employees, consultants and advisors involved in the preparation of the Company’s disclosures to the public with information that is accurate, complete, objective, relevant, timely and understandable.</w:t>
      </w:r>
    </w:p>
    <w:p>
      <w:pPr>
        <w:spacing w:after="0" w:line="182" w:lineRule="exact"/>
        <w:rPr>
          <w:rFonts w:ascii="Courier New" w:cs="Courier New" w:eastAsia="Courier New" w:hAnsi="Courier New"/>
          <w:sz w:val="22"/>
          <w:szCs w:val="22"/>
          <w:color w:val="auto"/>
        </w:rPr>
      </w:pPr>
    </w:p>
    <w:p>
      <w:pPr>
        <w:ind w:left="645" w:right="400" w:hanging="320"/>
        <w:spacing w:after="0" w:line="266" w:lineRule="auto"/>
        <w:tabs>
          <w:tab w:leader="none" w:pos="639" w:val="left"/>
        </w:tabs>
        <w:numPr>
          <w:ilvl w:val="1"/>
          <w:numId w:val="10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Act in good faith, responsibly, and with due care, competence and diligence, without misrepresenting material facts or allowing such person’s independent judgment to be subordinated by others.</w:t>
      </w:r>
    </w:p>
    <w:p>
      <w:pPr>
        <w:spacing w:after="0" w:line="161" w:lineRule="exact"/>
        <w:rPr>
          <w:rFonts w:ascii="Courier New" w:cs="Courier New" w:eastAsia="Courier New" w:hAnsi="Courier New"/>
          <w:sz w:val="22"/>
          <w:szCs w:val="22"/>
          <w:color w:val="auto"/>
        </w:rPr>
      </w:pPr>
    </w:p>
    <w:p>
      <w:pPr>
        <w:ind w:left="645" w:hanging="320"/>
        <w:spacing w:after="0"/>
        <w:tabs>
          <w:tab w:leader="none" w:pos="645" w:val="left"/>
        </w:tabs>
        <w:numPr>
          <w:ilvl w:val="1"/>
          <w:numId w:val="10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Proactively promote honest and ethical behavior among peers in the work environment.</w:t>
      </w:r>
    </w:p>
    <w:p>
      <w:pPr>
        <w:spacing w:after="0" w:line="160" w:lineRule="exact"/>
        <w:rPr>
          <w:rFonts w:ascii="Courier New" w:cs="Courier New" w:eastAsia="Courier New" w:hAnsi="Courier New"/>
          <w:sz w:val="22"/>
          <w:szCs w:val="22"/>
          <w:color w:val="auto"/>
        </w:rPr>
      </w:pPr>
    </w:p>
    <w:p>
      <w:pPr>
        <w:ind w:left="645" w:hanging="320"/>
        <w:spacing w:after="0"/>
        <w:tabs>
          <w:tab w:leader="none" w:pos="645" w:val="left"/>
        </w:tabs>
        <w:numPr>
          <w:ilvl w:val="1"/>
          <w:numId w:val="10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Achieve proper and responsible use of and control over Company assets and resources.</w:t>
      </w:r>
    </w:p>
    <w:p>
      <w:pPr>
        <w:spacing w:after="0" w:line="174" w:lineRule="exact"/>
        <w:rPr>
          <w:rFonts w:ascii="Courier New" w:cs="Courier New" w:eastAsia="Courier New" w:hAnsi="Courier New"/>
          <w:sz w:val="22"/>
          <w:szCs w:val="22"/>
          <w:color w:val="auto"/>
        </w:rPr>
      </w:pPr>
    </w:p>
    <w:p>
      <w:pPr>
        <w:ind w:left="645" w:hanging="320"/>
        <w:spacing w:after="0"/>
        <w:tabs>
          <w:tab w:leader="none" w:pos="645" w:val="left"/>
        </w:tabs>
        <w:numPr>
          <w:ilvl w:val="1"/>
          <w:numId w:val="10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Record or participate in the recording of entries in the Company’s books and records that are accurate.</w:t>
      </w:r>
    </w:p>
    <w:p>
      <w:pPr>
        <w:spacing w:after="0" w:line="241" w:lineRule="exact"/>
        <w:rPr>
          <w:rFonts w:ascii="Courier New" w:cs="Courier New" w:eastAsia="Courier New" w:hAnsi="Courier New"/>
          <w:sz w:val="22"/>
          <w:szCs w:val="22"/>
          <w:color w:val="auto"/>
        </w:rPr>
      </w:pPr>
    </w:p>
    <w:p>
      <w:pPr>
        <w:ind w:left="645" w:right="300" w:hanging="320"/>
        <w:spacing w:after="0" w:line="253" w:lineRule="auto"/>
        <w:tabs>
          <w:tab w:leader="none" w:pos="639" w:val="left"/>
        </w:tabs>
        <w:numPr>
          <w:ilvl w:val="1"/>
          <w:numId w:val="10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Comply with the Company’s disclosure controls and procedures, internal controls and procedures for financial reporting and other policy statements.</w:t>
      </w:r>
    </w:p>
    <w:p>
      <w:pPr>
        <w:spacing w:after="0" w:line="172" w:lineRule="exact"/>
        <w:rPr>
          <w:rFonts w:ascii="Courier New" w:cs="Courier New" w:eastAsia="Courier New" w:hAnsi="Courier New"/>
          <w:sz w:val="22"/>
          <w:szCs w:val="22"/>
          <w:color w:val="auto"/>
        </w:rPr>
      </w:pPr>
    </w:p>
    <w:p>
      <w:pPr>
        <w:ind w:left="645" w:hanging="644"/>
        <w:spacing w:after="0"/>
        <w:tabs>
          <w:tab w:leader="none" w:pos="645"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Laws, Rules, and Regulations</w:t>
      </w:r>
    </w:p>
    <w:p>
      <w:pPr>
        <w:spacing w:after="0" w:line="210" w:lineRule="exact"/>
        <w:rPr>
          <w:sz w:val="20"/>
          <w:szCs w:val="20"/>
          <w:color w:val="auto"/>
        </w:rPr>
      </w:pPr>
    </w:p>
    <w:p>
      <w:pPr>
        <w:ind w:left="5" w:right="460" w:firstLine="648"/>
        <w:spacing w:after="0" w:line="220" w:lineRule="auto"/>
        <w:rPr>
          <w:sz w:val="20"/>
          <w:szCs w:val="20"/>
          <w:color w:val="auto"/>
        </w:rPr>
      </w:pPr>
      <w:r>
        <w:rPr>
          <w:rFonts w:ascii="Times New Roman" w:cs="Times New Roman" w:eastAsia="Times New Roman" w:hAnsi="Times New Roman"/>
          <w:sz w:val="22"/>
          <w:szCs w:val="22"/>
          <w:color w:val="auto"/>
        </w:rPr>
        <w:t>It is the Company’s policy to comply with all applicable laws, rules, and regulations. Some laws carry criminal penalties. It is the personal responsibility of each director, officer, employee and consultant to adhere to the standards and restrictions imposed by those laws, rules, and regulations. The Company expects each director, officer, employee and consultant to refrain from any illegal, dishonest, or unethical conduct.</w:t>
      </w:r>
    </w:p>
    <w:p>
      <w:pPr>
        <w:spacing w:after="0" w:line="193" w:lineRule="exact"/>
        <w:rPr>
          <w:sz w:val="20"/>
          <w:szCs w:val="20"/>
          <w:color w:val="auto"/>
        </w:rPr>
      </w:pPr>
    </w:p>
    <w:p>
      <w:pPr>
        <w:ind w:left="5" w:firstLine="648"/>
        <w:spacing w:after="0" w:line="215" w:lineRule="auto"/>
        <w:rPr>
          <w:sz w:val="20"/>
          <w:szCs w:val="20"/>
          <w:color w:val="auto"/>
        </w:rPr>
      </w:pPr>
      <w:r>
        <w:rPr>
          <w:rFonts w:ascii="Times New Roman" w:cs="Times New Roman" w:eastAsia="Times New Roman" w:hAnsi="Times New Roman"/>
          <w:sz w:val="22"/>
          <w:szCs w:val="22"/>
          <w:color w:val="auto"/>
        </w:rPr>
        <w:t>Generally, it is both illegal and against Company policy for any director, officer, employee and consultant who is aware of material nonpublic information relating to the Company, any of the Company’s customers or any other private or governmental issuer of securities to buy or sell any securities of those issuers, or recommend that another buy, sell or hold the securities of those issuers. It is the Company’s policy for all directors, officers, employees and consultants to comply with the Company’s Securities Trading Policy. Any director, officer, employee or consultant with questions regarding these types of transactions should contact the Compliance Officer.</w:t>
      </w:r>
    </w:p>
    <w:p>
      <w:pPr>
        <w:spacing w:after="0" w:line="189" w:lineRule="exact"/>
        <w:rPr>
          <w:sz w:val="20"/>
          <w:szCs w:val="20"/>
          <w:color w:val="auto"/>
        </w:rPr>
      </w:pPr>
    </w:p>
    <w:p>
      <w:pPr>
        <w:ind w:left="645" w:hanging="645"/>
        <w:spacing w:after="0"/>
        <w:tabs>
          <w:tab w:leader="none" w:pos="645"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Duty to Report and Raise Questions and Concerns; Internal Reporting Procedure</w:t>
      </w:r>
    </w:p>
    <w:p>
      <w:pPr>
        <w:spacing w:after="0" w:line="197"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Each director, officer, employee, and consultant must report promptly to the Compliance Officer, as well as the</w:t>
      </w:r>
    </w:p>
    <w:p>
      <w:pPr>
        <w:ind w:left="5"/>
        <w:spacing w:after="0"/>
        <w:rPr>
          <w:sz w:val="20"/>
          <w:szCs w:val="20"/>
          <w:color w:val="auto"/>
        </w:rPr>
      </w:pPr>
      <w:r>
        <w:rPr>
          <w:rFonts w:ascii="Times New Roman" w:cs="Times New Roman" w:eastAsia="Times New Roman" w:hAnsi="Times New Roman"/>
          <w:sz w:val="22"/>
          <w:szCs w:val="22"/>
          <w:color w:val="auto"/>
        </w:rPr>
        <w:t>Director of Compliance of any involved Property, the existence (or good faith suspected existence) of any of the following:</w:t>
      </w:r>
    </w:p>
    <w:p>
      <w:pPr>
        <w:spacing w:after="0" w:line="196" w:lineRule="exact"/>
        <w:rPr>
          <w:sz w:val="20"/>
          <w:szCs w:val="20"/>
          <w:color w:val="auto"/>
        </w:rPr>
      </w:pPr>
    </w:p>
    <w:p>
      <w:pPr>
        <w:ind w:left="1305" w:right="420" w:hanging="333"/>
        <w:spacing w:after="0" w:line="236" w:lineRule="auto"/>
        <w:tabs>
          <w:tab w:leader="none" w:pos="129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outside association, interest, relationship or activity, as it arises, that actually, potentially or apparently involves a conflict of interest violation (or suspected violation) of the Code;</w:t>
      </w:r>
    </w:p>
    <w:p>
      <w:pPr>
        <w:spacing w:after="0" w:line="177" w:lineRule="exact"/>
        <w:rPr>
          <w:rFonts w:ascii="Times New Roman" w:cs="Times New Roman" w:eastAsia="Times New Roman" w:hAnsi="Times New Roman"/>
          <w:sz w:val="22"/>
          <w:szCs w:val="22"/>
          <w:color w:val="auto"/>
        </w:rPr>
      </w:pPr>
    </w:p>
    <w:p>
      <w:pPr>
        <w:ind w:left="1305" w:right="360" w:hanging="333"/>
        <w:spacing w:after="0" w:line="236" w:lineRule="auto"/>
        <w:tabs>
          <w:tab w:leader="none" w:pos="129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inaction that does not comply with gaming laws or regulations in any jurisdiction in which the Company does business;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65"/>
          </w:cols>
          <w:pgMar w:left="435" w:top="1440" w:right="499" w:bottom="1440" w:gutter="0" w:footer="0" w:header="0"/>
        </w:sectPr>
      </w:pPr>
    </w:p>
    <w:bookmarkStart w:id="230" w:name="page231"/>
    <w:bookmarkEnd w:id="230"/>
    <w:p>
      <w:pPr>
        <w:spacing w:after="0" w:line="185" w:lineRule="exact"/>
        <w:rPr>
          <w:sz w:val="20"/>
          <w:szCs w:val="20"/>
          <w:color w:val="auto"/>
        </w:rPr>
      </w:pPr>
    </w:p>
    <w:p>
      <w:pPr>
        <w:ind w:left="1300" w:right="940" w:hanging="333"/>
        <w:spacing w:after="0" w:line="236" w:lineRule="auto"/>
        <w:tabs>
          <w:tab w:leader="none" w:pos="12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inaction that does not comply with any condition or limitation placed on any license or approval granted by any Gaming Authority to the Company or any of its gaming operations;</w:t>
      </w:r>
    </w:p>
    <w:p>
      <w:pPr>
        <w:spacing w:after="0" w:line="190" w:lineRule="exact"/>
        <w:rPr>
          <w:rFonts w:ascii="Times New Roman" w:cs="Times New Roman" w:eastAsia="Times New Roman" w:hAnsi="Times New Roman"/>
          <w:sz w:val="22"/>
          <w:szCs w:val="22"/>
          <w:color w:val="auto"/>
        </w:rPr>
      </w:pPr>
    </w:p>
    <w:p>
      <w:pPr>
        <w:jc w:val="both"/>
        <w:ind w:left="1300" w:right="360" w:hanging="333"/>
        <w:spacing w:after="0" w:line="225" w:lineRule="auto"/>
        <w:tabs>
          <w:tab w:leader="none" w:pos="12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or circumstance which the employee, officer, director or consultant believes, in good faith, could impact the Company’s suitability for licensure, or may bring discredit to the Company or the gaming industry; and</w:t>
      </w:r>
    </w:p>
    <w:p>
      <w:pPr>
        <w:spacing w:after="0" w:line="179" w:lineRule="exact"/>
        <w:rPr>
          <w:rFonts w:ascii="Times New Roman" w:cs="Times New Roman" w:eastAsia="Times New Roman" w:hAnsi="Times New Roman"/>
          <w:sz w:val="22"/>
          <w:szCs w:val="22"/>
          <w:color w:val="auto"/>
        </w:rPr>
      </w:pPr>
    </w:p>
    <w:p>
      <w:pPr>
        <w:ind w:left="1280" w:hanging="313"/>
        <w:spacing w:after="0"/>
        <w:tabs>
          <w:tab w:leader="none" w:pos="12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of the Code.</w:t>
      </w:r>
    </w:p>
    <w:p>
      <w:pPr>
        <w:spacing w:after="0" w:line="17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Failure to report such relationships, activities, interests, non-compliance with gaming laws or regulations or violations of the Code will be a ground for disciplinary action.</w:t>
      </w:r>
    </w:p>
    <w:p>
      <w:pPr>
        <w:spacing w:after="0" w:line="177"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2"/>
          <w:szCs w:val="22"/>
          <w:color w:val="auto"/>
        </w:rPr>
        <w:t>In addition to the foregoing obligation to report to the Compliance Officer, employees who serve as Directors of Compliance shall also report such relationships, activities, interests, non-compliance with gaming laws or regulations or violations of the Code to the General Manager of the involved Property (unless the General Manager is the subject of, or otherwise involved in, such actual or potential violation). If, after consultation with the Compliance Officer and the General Manager, the Director of Compliance still maintains a good faith belief that the actual or potential violation has not been adequately addressed, he or she shall report such matter directly to the Company’s Compliance Committee.</w:t>
      </w:r>
    </w:p>
    <w:p>
      <w:pPr>
        <w:spacing w:after="0" w:line="17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1"/>
          <w:szCs w:val="21"/>
          <w:color w:val="auto"/>
        </w:rPr>
        <w:t>Subject to the provisions of the Code, the Compliance Officer will review disclosures of any actual, potential or apparent violation of the Code with at least one member of the Company’s Audit Committee and , if applicable, at least one member of the Company’s Compliance Committee, to determine the appropriate manner by which the Company’s approval or disapproval would be provided. Each director, officer, employee, and consultant must cooperate fully in the review process by providing all information that the Compliance Officer deems necessary to conduct an effective review. Company actions with respect to the conflict of interest or potential conflict of interest will take into account the spirit of the Code.</w:t>
      </w:r>
    </w:p>
    <w:p>
      <w:pPr>
        <w:spacing w:after="0" w:line="194"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Upon becoming employed by or associated with the Company each director, officer, employee, and consultant must sign a statement reflecting awareness and understanding of the Code, including the Conflicts of Interest Policy (“Ethics Statement”). At the same time, each director, officer, employee and consultant must report either the absence or presence of actual, potential or apparent conflicts of interest. The Company may from time to time request that any such person affirm his or her awareness of the Code and Conflicts of Interest Policy by delivering an updated Ethics Statement. A form of Ethics Statement is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260"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All interests, relationships or participation in transactions disclosed by any director, officer, employee or consultant in accordance with this policy shall be held in confidence unless the best interests of the Company dictate otherwise.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Company recognizes the potentially serious impact of a false accusation.</w:t>
      </w:r>
    </w:p>
    <w:p>
      <w:pPr>
        <w:ind w:right="660"/>
        <w:spacing w:after="0" w:line="225" w:lineRule="auto"/>
        <w:rPr>
          <w:sz w:val="20"/>
          <w:szCs w:val="20"/>
          <w:color w:val="auto"/>
        </w:rPr>
      </w:pPr>
      <w:r>
        <w:rPr>
          <w:rFonts w:ascii="Times New Roman" w:cs="Times New Roman" w:eastAsia="Times New Roman" w:hAnsi="Times New Roman"/>
          <w:sz w:val="22"/>
          <w:szCs w:val="22"/>
          <w:color w:val="auto"/>
        </w:rPr>
        <w:t>Employees, officers, directors and consultants are expected as part of the ethical standards required by this Code to act responsibly in reporting violations. Making a complaint without 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00"/>
          </w:cols>
          <w:pgMar w:left="440" w:top="1440" w:right="559" w:bottom="1440" w:gutter="0" w:footer="0" w:header="0"/>
        </w:sectPr>
      </w:pPr>
    </w:p>
    <w:bookmarkStart w:id="231" w:name="page232"/>
    <w:bookmarkEnd w:id="231"/>
    <w:p>
      <w:pPr>
        <w:spacing w:after="0" w:line="198" w:lineRule="exact"/>
        <w:rPr>
          <w:sz w:val="20"/>
          <w:szCs w:val="20"/>
          <w:color w:val="auto"/>
        </w:rPr>
      </w:pPr>
    </w:p>
    <w:p>
      <w:pPr>
        <w:ind w:left="5" w:right="200"/>
        <w:spacing w:after="0" w:line="236" w:lineRule="auto"/>
        <w:rPr>
          <w:sz w:val="20"/>
          <w:szCs w:val="20"/>
          <w:color w:val="auto"/>
        </w:rPr>
      </w:pPr>
      <w:r>
        <w:rPr>
          <w:rFonts w:ascii="Times New Roman" w:cs="Times New Roman" w:eastAsia="Times New Roman" w:hAnsi="Times New Roman"/>
          <w:sz w:val="22"/>
          <w:szCs w:val="22"/>
          <w:color w:val="auto"/>
        </w:rPr>
        <w:t>good-faith basis is itself a violation of the Code. Any employee, officer, director or consultant who makes a complaint in bad faith will be subject to disciplinary action, up to and including separation of employment.</w:t>
      </w:r>
    </w:p>
    <w:p>
      <w:pPr>
        <w:spacing w:after="0" w:line="177" w:lineRule="exact"/>
        <w:rPr>
          <w:sz w:val="20"/>
          <w:szCs w:val="20"/>
          <w:color w:val="auto"/>
        </w:rPr>
      </w:pPr>
    </w:p>
    <w:p>
      <w:pPr>
        <w:ind w:left="5" w:right="320" w:firstLine="648"/>
        <w:spacing w:after="0" w:line="236" w:lineRule="auto"/>
        <w:rPr>
          <w:sz w:val="20"/>
          <w:szCs w:val="20"/>
          <w:color w:val="auto"/>
        </w:rPr>
      </w:pPr>
      <w:r>
        <w:rPr>
          <w:rFonts w:ascii="Times New Roman" w:cs="Times New Roman" w:eastAsia="Times New Roman" w:hAnsi="Times New Roman"/>
          <w:sz w:val="22"/>
          <w:szCs w:val="22"/>
          <w:color w:val="auto"/>
        </w:rPr>
        <w:t>Employees, officers, directors and consultants who report violations or suspected violations in good faith, as well as those who participate in investigations, will not be subject to retaliation of any kind.</w:t>
      </w:r>
    </w:p>
    <w:p>
      <w:pPr>
        <w:spacing w:after="0" w:line="191" w:lineRule="exact"/>
        <w:rPr>
          <w:sz w:val="20"/>
          <w:szCs w:val="20"/>
          <w:color w:val="auto"/>
        </w:rPr>
      </w:pPr>
    </w:p>
    <w:p>
      <w:pPr>
        <w:ind w:left="5" w:right="40" w:firstLine="648"/>
        <w:spacing w:after="0" w:line="225" w:lineRule="auto"/>
        <w:rPr>
          <w:sz w:val="20"/>
          <w:szCs w:val="20"/>
          <w:color w:val="auto"/>
        </w:rPr>
      </w:pPr>
      <w:r>
        <w:rPr>
          <w:rFonts w:ascii="Times New Roman" w:cs="Times New Roman" w:eastAsia="Times New Roman" w:hAnsi="Times New Roman"/>
          <w:sz w:val="22"/>
          <w:szCs w:val="22"/>
          <w:color w:val="auto"/>
        </w:rPr>
        <w:t>Retaliation, which will be broadly construed, is generally defined as the use of authority or influence for the purpose of interfering with, or discouraging a report of, a violation of the Code or an investigation of an alleged Code violation. The Company will not permit retaliation where a report of an actual or potential violation was made in good faith.</w:t>
      </w:r>
    </w:p>
    <w:p>
      <w:pPr>
        <w:spacing w:after="0" w:line="179" w:lineRule="exact"/>
        <w:rPr>
          <w:sz w:val="20"/>
          <w:szCs w:val="20"/>
          <w:color w:val="auto"/>
        </w:rPr>
      </w:pPr>
    </w:p>
    <w:p>
      <w:pPr>
        <w:ind w:left="5" w:right="80" w:firstLine="648"/>
        <w:spacing w:after="0" w:line="225" w:lineRule="auto"/>
        <w:rPr>
          <w:sz w:val="20"/>
          <w:szCs w:val="20"/>
          <w:color w:val="auto"/>
        </w:rPr>
      </w:pPr>
      <w:r>
        <w:rPr>
          <w:rFonts w:ascii="Times New Roman" w:cs="Times New Roman" w:eastAsia="Times New Roman" w:hAnsi="Times New Roman"/>
          <w:sz w:val="22"/>
          <w:szCs w:val="22"/>
          <w:color w:val="auto"/>
        </w:rPr>
        <w:t>If you believe someone has retaliated against you because of your good faith report of an actual or suspected violation, you should immediately advise Human Resources as well as the Compliance Officer, and the Director of Compliance of the involved Property.</w:t>
      </w:r>
    </w:p>
    <w:p>
      <w:pPr>
        <w:spacing w:after="0" w:line="189" w:lineRule="exact"/>
        <w:rPr>
          <w:sz w:val="20"/>
          <w:szCs w:val="20"/>
          <w:color w:val="auto"/>
        </w:rPr>
      </w:pPr>
    </w:p>
    <w:p>
      <w:pPr>
        <w:ind w:left="625" w:hanging="625"/>
        <w:spacing w:after="0"/>
        <w:tabs>
          <w:tab w:leader="none" w:pos="625"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Accountability</w:t>
      </w:r>
    </w:p>
    <w:p>
      <w:pPr>
        <w:spacing w:after="0" w:line="224" w:lineRule="exact"/>
        <w:rPr>
          <w:sz w:val="20"/>
          <w:szCs w:val="20"/>
          <w:color w:val="auto"/>
        </w:rPr>
      </w:pPr>
    </w:p>
    <w:p>
      <w:pPr>
        <w:ind w:left="5" w:right="140" w:firstLine="648"/>
        <w:spacing w:after="0" w:line="225" w:lineRule="auto"/>
        <w:rPr>
          <w:sz w:val="20"/>
          <w:szCs w:val="20"/>
          <w:color w:val="auto"/>
        </w:rPr>
      </w:pPr>
      <w:r>
        <w:rPr>
          <w:rFonts w:ascii="Times New Roman" w:cs="Times New Roman" w:eastAsia="Times New Roman" w:hAnsi="Times New Roman"/>
          <w:sz w:val="22"/>
          <w:szCs w:val="22"/>
          <w:color w:val="auto"/>
        </w:rPr>
        <w:t>All who are subject to the Code are responsible for complying with it and for reporting any known or suspected violations of it. The Company recognizes that such a mandate may not be meaningful without an accompanying provision for accountability and discipline of violations of the Code.</w:t>
      </w:r>
    </w:p>
    <w:p>
      <w:pPr>
        <w:spacing w:after="0" w:line="180" w:lineRule="exact"/>
        <w:rPr>
          <w:sz w:val="20"/>
          <w:szCs w:val="20"/>
          <w:color w:val="auto"/>
        </w:rPr>
      </w:pPr>
    </w:p>
    <w:p>
      <w:pPr>
        <w:ind w:left="5" w:right="40" w:firstLine="648"/>
        <w:spacing w:after="0" w:line="215" w:lineRule="auto"/>
        <w:rPr>
          <w:sz w:val="20"/>
          <w:szCs w:val="20"/>
          <w:color w:val="auto"/>
        </w:rPr>
      </w:pPr>
      <w:r>
        <w:rPr>
          <w:rFonts w:ascii="Times New Roman" w:cs="Times New Roman" w:eastAsia="Times New Roman" w:hAnsi="Times New Roman"/>
          <w:sz w:val="22"/>
          <w:szCs w:val="22"/>
          <w:color w:val="auto"/>
        </w:rPr>
        <w:t>Subject to the terms of the Code, reported violations of the Code will be investigated, addressed promptly and treated confidentially to the extent possible. The Company will strive to impose discipline for each Code violation that fits the nature and particular facts of the violation. The Company uses a system of progressive discipline and generally will issue warnings or letters of reprimand for less significant, first-time violations. Violations of a more serious nature may result in termination of employment or suspension without pay, demotion, loss or reduction of bonus or option awards, or any combination of such disciplinary measures.</w:t>
      </w:r>
    </w:p>
    <w:p>
      <w:pPr>
        <w:spacing w:after="0" w:line="193" w:lineRule="exact"/>
        <w:rPr>
          <w:sz w:val="20"/>
          <w:szCs w:val="20"/>
          <w:color w:val="auto"/>
        </w:rPr>
      </w:pPr>
    </w:p>
    <w:p>
      <w:pPr>
        <w:ind w:left="5" w:firstLine="648"/>
        <w:spacing w:after="0" w:line="217" w:lineRule="auto"/>
        <w:rPr>
          <w:sz w:val="20"/>
          <w:szCs w:val="20"/>
          <w:color w:val="auto"/>
        </w:rPr>
      </w:pPr>
      <w:r>
        <w:rPr>
          <w:rFonts w:ascii="Times New Roman" w:cs="Times New Roman" w:eastAsia="Times New Roman" w:hAnsi="Times New Roman"/>
          <w:sz w:val="22"/>
          <w:szCs w:val="22"/>
          <w:color w:val="auto"/>
        </w:rPr>
        <w:t>Violations of the Code that go unaddressed are treated by the SEC as implicit waivers of the Code. Accordingly, any violation that is discovered and not addressed will have to be disclosed in accordance with the rules and regulations of the SEC or applicable listing standards. In such cases, the SEC’s rules will require disclosure of the nature of any violation, the date of the violation and the name of the person who committed the violation. Such disclosure would be harmful to the Company and the individuals involved in the violation.</w:t>
      </w:r>
    </w:p>
    <w:p>
      <w:pPr>
        <w:spacing w:after="0" w:line="193" w:lineRule="exact"/>
        <w:rPr>
          <w:sz w:val="20"/>
          <w:szCs w:val="20"/>
          <w:color w:val="auto"/>
        </w:rPr>
      </w:pPr>
    </w:p>
    <w:p>
      <w:pPr>
        <w:ind w:left="5" w:right="120" w:firstLine="648"/>
        <w:spacing w:after="0" w:line="220" w:lineRule="auto"/>
        <w:rPr>
          <w:sz w:val="20"/>
          <w:szCs w:val="20"/>
          <w:color w:val="auto"/>
        </w:rPr>
      </w:pPr>
      <w:r>
        <w:rPr>
          <w:rFonts w:ascii="Times New Roman" w:cs="Times New Roman" w:eastAsia="Times New Roman" w:hAnsi="Times New Roman"/>
          <w:sz w:val="22"/>
          <w:szCs w:val="22"/>
          <w:color w:val="auto"/>
        </w:rPr>
        <w:t>Subject to the provisions of the Code and the Company’s Whistleblower Policy and Procedures, all investigations of reported violations of the Code will be supervised by the Compliance Officer. A violation shall be deemed to have occurred and appropriate consequences shall be determined only by the Board of Directors, any of its committees, or such other person designated by the Board to act on its behalf.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85"/>
          </w:cols>
          <w:pgMar w:left="435" w:top="1440" w:right="479" w:bottom="1440" w:gutter="0" w:footer="0" w:header="0"/>
        </w:sectPr>
      </w:pPr>
    </w:p>
    <w:bookmarkStart w:id="232" w:name="page233"/>
    <w:bookmarkEnd w:id="232"/>
    <w:p>
      <w:pPr>
        <w:spacing w:after="0" w:line="194" w:lineRule="exact"/>
        <w:rPr>
          <w:sz w:val="20"/>
          <w:szCs w:val="20"/>
          <w:color w:val="auto"/>
        </w:rPr>
      </w:pPr>
    </w:p>
    <w:p>
      <w:pPr>
        <w:ind w:left="644" w:hanging="644"/>
        <w:spacing w:after="0"/>
        <w:tabs>
          <w:tab w:leader="none" w:pos="644"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Protected Disclosures</w:t>
      </w:r>
    </w:p>
    <w:p>
      <w:pPr>
        <w:spacing w:after="0" w:line="210" w:lineRule="exact"/>
        <w:rPr>
          <w:rFonts w:ascii="Times New Roman" w:cs="Times New Roman" w:eastAsia="Times New Roman" w:hAnsi="Times New Roman"/>
          <w:sz w:val="22"/>
          <w:szCs w:val="22"/>
          <w:b w:val="1"/>
          <w:bCs w:val="1"/>
          <w:color w:val="auto"/>
        </w:rPr>
      </w:pPr>
    </w:p>
    <w:p>
      <w:pPr>
        <w:ind w:left="64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Code or any agreement between you and the Company:</w:t>
      </w:r>
    </w:p>
    <w:p>
      <w:pPr>
        <w:spacing w:after="0" w:line="219" w:lineRule="exact"/>
        <w:rPr>
          <w:rFonts w:ascii="Times New Roman" w:cs="Times New Roman" w:eastAsia="Times New Roman" w:hAnsi="Times New Roman"/>
          <w:sz w:val="22"/>
          <w:szCs w:val="22"/>
          <w:b w:val="1"/>
          <w:bCs w:val="1"/>
          <w:color w:val="auto"/>
        </w:rPr>
      </w:pPr>
    </w:p>
    <w:p>
      <w:pPr>
        <w:ind w:left="1304" w:right="100" w:hanging="332"/>
        <w:spacing w:after="0" w:line="217" w:lineRule="auto"/>
        <w:tabs>
          <w:tab w:leader="none" w:pos="129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preclude, prohibit or restrict you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w:t>
      </w:r>
    </w:p>
    <w:p>
      <w:pPr>
        <w:spacing w:after="0" w:line="179" w:lineRule="exact"/>
        <w:rPr>
          <w:rFonts w:ascii="Times New Roman" w:cs="Times New Roman" w:eastAsia="Times New Roman" w:hAnsi="Times New Roman"/>
          <w:sz w:val="22"/>
          <w:szCs w:val="22"/>
          <w:color w:val="auto"/>
        </w:rPr>
      </w:pPr>
    </w:p>
    <w:p>
      <w:pPr>
        <w:ind w:left="1304" w:hanging="332"/>
        <w:spacing w:after="0" w:line="212" w:lineRule="auto"/>
        <w:tabs>
          <w:tab w:leader="none" w:pos="129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prohibits, or is intended in any manner to prohibit, you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Nothing in this Code or any agreement between you and the Company is intended to limit your right to receive an award (including, without limitation, a monetary reward) for information provided to the SEC. You do not need the prior authorization of anyone at the Company to make any such reports or disclosures, and you are not required to notify the Company that you have made such reports or disclosures.</w:t>
      </w:r>
    </w:p>
    <w:p>
      <w:pPr>
        <w:spacing w:after="0" w:line="223" w:lineRule="exact"/>
        <w:rPr>
          <w:rFonts w:ascii="Times New Roman" w:cs="Times New Roman" w:eastAsia="Times New Roman" w:hAnsi="Times New Roman"/>
          <w:sz w:val="22"/>
          <w:szCs w:val="22"/>
          <w:color w:val="auto"/>
        </w:rPr>
      </w:pPr>
    </w:p>
    <w:p>
      <w:pPr>
        <w:ind w:left="1284" w:hanging="312"/>
        <w:spacing w:after="0"/>
        <w:tabs>
          <w:tab w:leader="none" w:pos="128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intended to interfere with or restrain the immunity provided under 18 U.S.C.</w:t>
      </w:r>
    </w:p>
    <w:p>
      <w:pPr>
        <w:ind w:left="1304" w:right="60"/>
        <w:spacing w:after="0" w:line="2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§1833(b). You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94" w:lineRule="exact"/>
        <w:rPr>
          <w:sz w:val="20"/>
          <w:szCs w:val="20"/>
          <w:color w:val="auto"/>
        </w:rPr>
      </w:pPr>
    </w:p>
    <w:p>
      <w:pPr>
        <w:ind w:left="4" w:right="180" w:firstLine="648"/>
        <w:spacing w:after="0" w:line="236" w:lineRule="auto"/>
        <w:rPr>
          <w:sz w:val="20"/>
          <w:szCs w:val="20"/>
          <w:color w:val="auto"/>
        </w:rPr>
      </w:pPr>
      <w:r>
        <w:rPr>
          <w:rFonts w:ascii="Times New Roman" w:cs="Times New Roman" w:eastAsia="Times New Roman" w:hAnsi="Times New Roman"/>
          <w:sz w:val="22"/>
          <w:szCs w:val="22"/>
          <w:color w:val="auto"/>
        </w:rPr>
        <w:t>The foregoing provisions regarding protected disclosures are intended to comply with all applicable laws. If any laws are adopted, amended or repealed after the date hereof, this Code shall be deemed to be amended to reflect the same.</w:t>
      </w:r>
    </w:p>
    <w:p>
      <w:pPr>
        <w:spacing w:after="0" w:line="18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Section II</w:t>
      </w:r>
    </w:p>
    <w:p>
      <w:pPr>
        <w:spacing w:after="0" w:line="287" w:lineRule="exact"/>
        <w:rPr>
          <w:sz w:val="20"/>
          <w:szCs w:val="20"/>
          <w:color w:val="auto"/>
        </w:rPr>
      </w:pPr>
    </w:p>
    <w:p>
      <w:pPr>
        <w:ind w:left="644" w:hanging="644"/>
        <w:spacing w:after="0"/>
        <w:tabs>
          <w:tab w:leader="none" w:pos="644"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Corporate Opportunities</w:t>
      </w:r>
    </w:p>
    <w:p>
      <w:pPr>
        <w:spacing w:after="0" w:line="210" w:lineRule="exact"/>
        <w:rPr>
          <w:sz w:val="20"/>
          <w:szCs w:val="20"/>
          <w:color w:val="auto"/>
        </w:rPr>
      </w:pPr>
    </w:p>
    <w:p>
      <w:pPr>
        <w:ind w:left="4" w:right="20" w:firstLine="648"/>
        <w:spacing w:after="0" w:line="220" w:lineRule="auto"/>
        <w:rPr>
          <w:sz w:val="20"/>
          <w:szCs w:val="20"/>
          <w:color w:val="auto"/>
        </w:rPr>
      </w:pPr>
      <w:r>
        <w:rPr>
          <w:rFonts w:ascii="Times New Roman" w:cs="Times New Roman" w:eastAsia="Times New Roman" w:hAnsi="Times New Roman"/>
          <w:sz w:val="22"/>
          <w:szCs w:val="22"/>
          <w:color w:val="auto"/>
        </w:rPr>
        <w:t>Directors, officers and employees owe a duty to the Company to advance the Company’s legitimate business interests when the opportunity to do so arises. Directors, officers and employees are prohibited from taking for themselves (or directing to a third party) a business opportunity that is discovered through the use of corporate property, information, or position unless previously approved by the Board. More generally, directors, officers, employees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64"/>
          </w:cols>
          <w:pgMar w:left="436" w:top="1440" w:right="499" w:bottom="1440" w:gutter="0" w:footer="0" w:header="0"/>
        </w:sectPr>
      </w:pPr>
    </w:p>
    <w:bookmarkStart w:id="233" w:name="page234"/>
    <w:bookmarkEnd w:id="233"/>
    <w:p>
      <w:pPr>
        <w:spacing w:after="0" w:line="198" w:lineRule="exact"/>
        <w:rPr>
          <w:sz w:val="20"/>
          <w:szCs w:val="20"/>
          <w:color w:val="auto"/>
        </w:rPr>
      </w:pPr>
    </w:p>
    <w:p>
      <w:pPr>
        <w:ind w:left="5" w:right="400"/>
        <w:spacing w:after="0" w:line="236" w:lineRule="auto"/>
        <w:rPr>
          <w:sz w:val="20"/>
          <w:szCs w:val="20"/>
          <w:color w:val="auto"/>
        </w:rPr>
      </w:pPr>
      <w:r>
        <w:rPr>
          <w:rFonts w:ascii="Times New Roman" w:cs="Times New Roman" w:eastAsia="Times New Roman" w:hAnsi="Times New Roman"/>
          <w:sz w:val="22"/>
          <w:szCs w:val="22"/>
          <w:color w:val="auto"/>
        </w:rPr>
        <w:t>consultants are prohibited from using corporate property, information, or position for personal gain or competing with the Company.</w:t>
      </w:r>
    </w:p>
    <w:p>
      <w:pPr>
        <w:spacing w:after="0" w:line="177" w:lineRule="exact"/>
        <w:rPr>
          <w:sz w:val="20"/>
          <w:szCs w:val="20"/>
          <w:color w:val="auto"/>
        </w:rPr>
      </w:pPr>
    </w:p>
    <w:p>
      <w:pPr>
        <w:jc w:val="both"/>
        <w:ind w:left="5" w:right="240" w:firstLine="648"/>
        <w:spacing w:after="0" w:line="225" w:lineRule="auto"/>
        <w:rPr>
          <w:sz w:val="20"/>
          <w:szCs w:val="20"/>
          <w:color w:val="auto"/>
        </w:rPr>
      </w:pPr>
      <w:r>
        <w:rPr>
          <w:rFonts w:ascii="Times New Roman" w:cs="Times New Roman" w:eastAsia="Times New Roman" w:hAnsi="Times New Roman"/>
          <w:sz w:val="22"/>
          <w:szCs w:val="22"/>
          <w:color w:val="auto"/>
        </w:rPr>
        <w:t>Sometimes the line between personal and Company benefits may be difficult to discern. The only prudent course of conduct for our directors, officers, employees and consultants is to make sure that any use of Company property or services that is not solely for the benefit of the Company is approved beforehand through the Compliance Officer.</w:t>
      </w:r>
    </w:p>
    <w:p>
      <w:pPr>
        <w:spacing w:after="0" w:line="189" w:lineRule="exact"/>
        <w:rPr>
          <w:sz w:val="20"/>
          <w:szCs w:val="20"/>
          <w:color w:val="auto"/>
        </w:rPr>
      </w:pPr>
    </w:p>
    <w:p>
      <w:pPr>
        <w:ind w:left="645" w:hanging="644"/>
        <w:spacing w:after="0"/>
        <w:tabs>
          <w:tab w:leader="none" w:pos="645"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ind w:left="5" w:right="20" w:firstLine="648"/>
        <w:spacing w:after="0" w:line="211" w:lineRule="auto"/>
        <w:rPr>
          <w:sz w:val="20"/>
          <w:szCs w:val="20"/>
          <w:color w:val="auto"/>
        </w:rPr>
      </w:pPr>
      <w:r>
        <w:rPr>
          <w:rFonts w:ascii="Times New Roman" w:cs="Times New Roman" w:eastAsia="Times New Roman" w:hAnsi="Times New Roman"/>
          <w:sz w:val="22"/>
          <w:szCs w:val="22"/>
          <w:color w:val="auto"/>
        </w:rPr>
        <w:t>In carrying out the Company’s business, directors, officers, employees and consultants often learn confidential or proprietary information about the Company, its customers, or other third parties. Directors, officers, employees and consultants must maintain the confidentiality of all information so entrusted to them, except when disclosure is authorized or legally mandated. Confidential or proprietary information includes, among other things, any non-public information concerning the Company, including its business relationships, financial performance, results or prospects, personnel information, guest information, compensation data, computer processes, customer lists, marketing strategies, pending projects or proposals, and any non-public information provided by a third party with the expectation that the information be kept confidential and used solely for the business purpose for which it was conveyed. Directors, officers, employees and consultants should refer to the Company’s Legal Department for more detailed guidance on this topic.</w:t>
      </w:r>
    </w:p>
    <w:p>
      <w:pPr>
        <w:spacing w:after="0" w:line="195" w:lineRule="exact"/>
        <w:rPr>
          <w:sz w:val="20"/>
          <w:szCs w:val="20"/>
          <w:color w:val="auto"/>
        </w:rPr>
      </w:pPr>
    </w:p>
    <w:p>
      <w:pPr>
        <w:ind w:left="645" w:hanging="644"/>
        <w:spacing w:after="0"/>
        <w:tabs>
          <w:tab w:leader="none" w:pos="645"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Dealing</w:t>
      </w:r>
    </w:p>
    <w:p>
      <w:pPr>
        <w:spacing w:after="0" w:line="224" w:lineRule="exact"/>
        <w:rPr>
          <w:sz w:val="20"/>
          <w:szCs w:val="20"/>
          <w:color w:val="auto"/>
        </w:rPr>
      </w:pPr>
    </w:p>
    <w:p>
      <w:pPr>
        <w:ind w:left="5" w:firstLine="648"/>
        <w:spacing w:after="0" w:line="224" w:lineRule="auto"/>
        <w:rPr>
          <w:sz w:val="20"/>
          <w:szCs w:val="20"/>
          <w:color w:val="auto"/>
        </w:rPr>
      </w:pPr>
      <w:r>
        <w:rPr>
          <w:rFonts w:ascii="Times New Roman" w:cs="Times New Roman" w:eastAsia="Times New Roman" w:hAnsi="Times New Roman"/>
          <w:sz w:val="21"/>
          <w:szCs w:val="21"/>
          <w:color w:val="auto"/>
        </w:rPr>
        <w:t>The successful business operation and reputation of the Company are built upon the principals of fair dealing and ethical conduct. Our reputation for integrity and excellence requires careful observance of the spirit and letter of all applicable laws and regulations as well as a scrupulous regard for standards of conduct and personal integrity consistent with this Code. We do not seek competitive advantages through illegal or unethical business practices. Each director, officer, employee and consultant should endeavor to deal fairly with the Company’s customers, service providers, suppliers, competitors, and other employees. No director, officer, employee or consultant should take unfair advantage of anyone through manipulation, concealment, abuse of privileged information, misrepresentation of material facts, or any unfair dealing practice.</w:t>
      </w:r>
    </w:p>
    <w:p>
      <w:pPr>
        <w:spacing w:after="0" w:line="187" w:lineRule="exact"/>
        <w:rPr>
          <w:sz w:val="20"/>
          <w:szCs w:val="20"/>
          <w:color w:val="auto"/>
        </w:rPr>
      </w:pPr>
    </w:p>
    <w:p>
      <w:pPr>
        <w:ind w:left="645" w:hanging="645"/>
        <w:spacing w:after="0"/>
        <w:tabs>
          <w:tab w:leader="none" w:pos="645"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Equal Employment Opportunity and Harassment</w:t>
      </w:r>
    </w:p>
    <w:p>
      <w:pPr>
        <w:spacing w:after="0" w:line="197"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Our focus in personnel decisions is on merit and contribution to the Company’s success.</w:t>
      </w:r>
    </w:p>
    <w:p>
      <w:pPr>
        <w:ind w:left="5"/>
        <w:spacing w:after="0" w:line="212" w:lineRule="auto"/>
        <w:rPr>
          <w:sz w:val="20"/>
          <w:szCs w:val="20"/>
          <w:color w:val="auto"/>
        </w:rPr>
      </w:pPr>
      <w:r>
        <w:rPr>
          <w:rFonts w:ascii="Times New Roman" w:cs="Times New Roman" w:eastAsia="Times New Roman" w:hAnsi="Times New Roman"/>
          <w:sz w:val="22"/>
          <w:szCs w:val="22"/>
          <w:color w:val="auto"/>
        </w:rPr>
        <w:t>Concern for the personal dignity and individual worth of every person is an indispensable element in the standard of conduct that we have set for ourselves. The Company affords equal employment opportunity to all qualified persons without regard to any impermissible criterion or circumstances. This means equal opportunity in regard to each individual’s terms and conditions of employment and in regard to any other matter that affects in any way the working environment of the employee. We do not tolerate or condone any type of discrimination prohibited by law, including harassment.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4"/>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05"/>
          </w:cols>
          <w:pgMar w:left="435" w:top="1440" w:right="559" w:bottom="1440" w:gutter="0" w:footer="0" w:header="0"/>
        </w:sectPr>
      </w:pPr>
    </w:p>
    <w:bookmarkStart w:id="234" w:name="page235"/>
    <w:bookmarkEnd w:id="234"/>
    <w:p>
      <w:pPr>
        <w:spacing w:after="0" w:line="194" w:lineRule="exact"/>
        <w:rPr>
          <w:sz w:val="20"/>
          <w:szCs w:val="20"/>
          <w:color w:val="auto"/>
        </w:rPr>
      </w:pPr>
    </w:p>
    <w:p>
      <w:pPr>
        <w:ind w:left="644" w:hanging="644"/>
        <w:spacing w:after="0"/>
        <w:tabs>
          <w:tab w:leader="none" w:pos="644"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Protection and Proper Use of Company Assets</w:t>
      </w:r>
    </w:p>
    <w:p>
      <w:pPr>
        <w:spacing w:after="0" w:line="19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All employees, officers, directors, and consultants should protect the Company’s assets and ensure their efficient use.</w:t>
      </w:r>
    </w:p>
    <w:p>
      <w:pPr>
        <w:ind w:left="4"/>
        <w:spacing w:after="0"/>
        <w:rPr>
          <w:sz w:val="20"/>
          <w:szCs w:val="20"/>
          <w:color w:val="auto"/>
        </w:rPr>
      </w:pPr>
      <w:r>
        <w:rPr>
          <w:rFonts w:ascii="Times New Roman" w:cs="Times New Roman" w:eastAsia="Times New Roman" w:hAnsi="Times New Roman"/>
          <w:sz w:val="22"/>
          <w:szCs w:val="22"/>
          <w:color w:val="auto"/>
        </w:rPr>
        <w:t>All Company assets should be used for legitimate business purposes only.</w:t>
      </w:r>
    </w:p>
    <w:p>
      <w:pPr>
        <w:spacing w:after="0" w:line="192" w:lineRule="exact"/>
        <w:rPr>
          <w:sz w:val="20"/>
          <w:szCs w:val="20"/>
          <w:color w:val="auto"/>
        </w:rPr>
      </w:pPr>
    </w:p>
    <w:p>
      <w:pPr>
        <w:ind w:left="624" w:hanging="624"/>
        <w:spacing w:after="0"/>
        <w:tabs>
          <w:tab w:leader="none" w:pos="624"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Activities/Employment</w:t>
      </w:r>
    </w:p>
    <w:p>
      <w:pPr>
        <w:spacing w:after="0" w:line="210" w:lineRule="exact"/>
        <w:rPr>
          <w:sz w:val="20"/>
          <w:szCs w:val="20"/>
          <w:color w:val="auto"/>
        </w:rPr>
      </w:pPr>
    </w:p>
    <w:p>
      <w:pPr>
        <w:ind w:left="4" w:right="480" w:firstLine="648"/>
        <w:spacing w:after="0" w:line="220" w:lineRule="auto"/>
        <w:rPr>
          <w:sz w:val="20"/>
          <w:szCs w:val="20"/>
          <w:color w:val="auto"/>
        </w:rPr>
      </w:pPr>
      <w:r>
        <w:rPr>
          <w:rFonts w:ascii="Times New Roman" w:cs="Times New Roman" w:eastAsia="Times New Roman" w:hAnsi="Times New Roman"/>
          <w:sz w:val="22"/>
          <w:szCs w:val="22"/>
          <w:color w:val="auto"/>
        </w:rPr>
        <w:t>Non-salaried employees may hold a job with another employer so long as he or she notifies the Company and satisfactorily performs his or her job responsibilities with the Company. All employees will be judged by the same performance standards and will be subject to the Company’s scheduling demands, regardless of any existing outside work requirements.</w:t>
      </w:r>
    </w:p>
    <w:p>
      <w:pPr>
        <w:spacing w:after="0" w:line="193" w:lineRule="exact"/>
        <w:rPr>
          <w:sz w:val="20"/>
          <w:szCs w:val="20"/>
          <w:color w:val="auto"/>
        </w:rPr>
      </w:pPr>
    </w:p>
    <w:p>
      <w:pPr>
        <w:jc w:val="both"/>
        <w:ind w:left="4" w:right="460" w:firstLine="648"/>
        <w:spacing w:after="0" w:line="225" w:lineRule="auto"/>
        <w:rPr>
          <w:sz w:val="20"/>
          <w:szCs w:val="20"/>
          <w:color w:val="auto"/>
        </w:rPr>
      </w:pPr>
      <w:r>
        <w:rPr>
          <w:rFonts w:ascii="Times New Roman" w:cs="Times New Roman" w:eastAsia="Times New Roman" w:hAnsi="Times New Roman"/>
          <w:sz w:val="22"/>
          <w:szCs w:val="22"/>
          <w:color w:val="auto"/>
        </w:rPr>
        <w:t>If the Company determines that an employee’s outside work interferes with performance or the ability to meet the requirements of the Company as they are modified from time to time, the employee may be asked to terminate the outside employment if he or she wishes to remain employed by the Company.</w:t>
      </w:r>
    </w:p>
    <w:p>
      <w:pPr>
        <w:spacing w:after="0" w:line="193" w:lineRule="exact"/>
        <w:rPr>
          <w:sz w:val="20"/>
          <w:szCs w:val="20"/>
          <w:color w:val="auto"/>
        </w:rPr>
      </w:pPr>
    </w:p>
    <w:p>
      <w:pPr>
        <w:ind w:left="4" w:right="180" w:firstLine="648"/>
        <w:spacing w:after="0" w:line="217" w:lineRule="auto"/>
        <w:rPr>
          <w:sz w:val="20"/>
          <w:szCs w:val="20"/>
          <w:color w:val="auto"/>
        </w:rPr>
      </w:pPr>
      <w:r>
        <w:rPr>
          <w:rFonts w:ascii="Times New Roman" w:cs="Times New Roman" w:eastAsia="Times New Roman" w:hAnsi="Times New Roman"/>
          <w:sz w:val="22"/>
          <w:szCs w:val="22"/>
          <w:color w:val="auto"/>
        </w:rPr>
        <w:t>Any outside association, including employment and activities with other entities, should not encroach on the time and attention any director, officer or employee is expected to devote to his or her Company duties and responsibilities, adversely affect the quality or quantity of his or her work product or entail his or her use of any Company assets, including its real and personal property, or imply (without the Company’s approval) the Company’s sponsorship or support. In addition, under no circumstances is any director, officer or employee permitted to compete with the Company.</w:t>
      </w:r>
    </w:p>
    <w:p>
      <w:pPr>
        <w:spacing w:after="0" w:line="2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Section III</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Waivers and Amendments of The Code</w:t>
      </w:r>
    </w:p>
    <w:p>
      <w:pPr>
        <w:spacing w:after="0" w:line="224" w:lineRule="exact"/>
        <w:rPr>
          <w:sz w:val="20"/>
          <w:szCs w:val="20"/>
          <w:color w:val="auto"/>
        </w:rPr>
      </w:pPr>
    </w:p>
    <w:p>
      <w:pPr>
        <w:ind w:left="4" w:firstLine="648"/>
        <w:spacing w:after="0" w:line="213" w:lineRule="auto"/>
        <w:rPr>
          <w:sz w:val="20"/>
          <w:szCs w:val="20"/>
          <w:color w:val="auto"/>
        </w:rPr>
      </w:pPr>
      <w:r>
        <w:rPr>
          <w:rFonts w:ascii="Times New Roman" w:cs="Times New Roman" w:eastAsia="Times New Roman" w:hAnsi="Times New Roman"/>
          <w:sz w:val="22"/>
          <w:szCs w:val="22"/>
          <w:color w:val="auto"/>
        </w:rPr>
        <w:t>From time to time, the Board may amend the Code or waive certain provisions of the Code. Any such amendment shall be disclosed in the manner and within the time required by applicable laws, regulations, rules and listing standards. Any requests for a waiver of any provision of the Code must be submitted in writing to the Compliance Officer for review. If a waiver of any provision of the Code is granted, the Company must publicly disclose the nature of the granted waiver, including any implicit waiver, the name of the person requesting the waiver, the date of the waiver and any other disclosures as and to the extent required by any rule of the SEC or applicable listing standard. Waivers of any provision of the Code may be made only by the Board.</w:t>
      </w:r>
    </w:p>
    <w:p>
      <w:pPr>
        <w:spacing w:after="0" w:line="2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Section IV</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Anonymous Reporting of Violations</w:t>
      </w:r>
    </w:p>
    <w:p>
      <w:pPr>
        <w:spacing w:after="0" w:line="210" w:lineRule="exact"/>
        <w:rPr>
          <w:sz w:val="20"/>
          <w:szCs w:val="20"/>
          <w:color w:val="auto"/>
        </w:rPr>
      </w:pPr>
    </w:p>
    <w:p>
      <w:pPr>
        <w:ind w:left="4" w:right="160" w:firstLine="648"/>
        <w:spacing w:after="0" w:line="220" w:lineRule="auto"/>
        <w:rPr>
          <w:sz w:val="20"/>
          <w:szCs w:val="20"/>
          <w:color w:val="auto"/>
        </w:rPr>
      </w:pPr>
      <w:r>
        <w:rPr>
          <w:rFonts w:ascii="Times New Roman" w:cs="Times New Roman" w:eastAsia="Times New Roman" w:hAnsi="Times New Roman"/>
          <w:sz w:val="22"/>
          <w:szCs w:val="22"/>
          <w:color w:val="auto"/>
        </w:rPr>
        <w:t>Any violation of the Code and any violation by the Company or its directors, officers, employees or consultants of the securities laws, rules or regulations or other laws, rules or regulations applicable to the Company may be reported anonymously using any one of the methods described in the Company’s Whistleblower Hotline Policy and Procedures, including,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04"/>
          </w:cols>
          <w:pgMar w:left="436" w:top="1440" w:right="459" w:bottom="1440" w:gutter="0" w:footer="0" w:header="0"/>
        </w:sectPr>
      </w:pPr>
    </w:p>
    <w:bookmarkStart w:id="235" w:name="page236"/>
    <w:bookmarkEnd w:id="235"/>
    <w:p>
      <w:pPr>
        <w:spacing w:after="0" w:line="198"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21"/>
          <w:szCs w:val="21"/>
          <w:color w:val="auto"/>
        </w:rPr>
        <w:t>without limitation, the making of a phone call to a whistleblower hotline at 800-418-6482, extension 687. All such calls shall be subject to the Company’s Whistleblower Hotline Policy and Procedures. A copy of the Company’s Whistleblower Hotline Policy and Procedures is available on the Company’s website, in employee break rooms and on employee bulletin boards.</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Section V</w:t>
      </w: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w:t>
      </w:r>
    </w:p>
    <w:p>
      <w:pPr>
        <w:spacing w:after="0" w:line="224"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Any proposed transaction between the Company and a related party, or in which a related party would have a direct or indirect material interest, must be promptly disclosed to the Compliance Officer, the Company’s Audit Committee, and the Company’s Compliance Committee, and must be approved by the Company’s Audit Committee. Any director having an interest in the transaction is not permitted to vote on such transaction.</w:t>
      </w:r>
    </w:p>
    <w:p>
      <w:pPr>
        <w:spacing w:after="0" w:line="179" w:lineRule="exact"/>
        <w:rPr>
          <w:sz w:val="20"/>
          <w:szCs w:val="20"/>
          <w:color w:val="auto"/>
        </w:rPr>
      </w:pPr>
    </w:p>
    <w:p>
      <w:pPr>
        <w:ind w:right="660" w:firstLine="648"/>
        <w:spacing w:after="0" w:line="236" w:lineRule="auto"/>
        <w:rPr>
          <w:sz w:val="20"/>
          <w:szCs w:val="20"/>
          <w:color w:val="auto"/>
        </w:rPr>
      </w:pPr>
      <w:r>
        <w:rPr>
          <w:rFonts w:ascii="Times New Roman" w:cs="Times New Roman" w:eastAsia="Times New Roman" w:hAnsi="Times New Roman"/>
          <w:sz w:val="22"/>
          <w:szCs w:val="22"/>
          <w:color w:val="auto"/>
        </w:rPr>
        <w:t>The Audit Committee will determine whether or not to approve such transaction on a case by case basis and in accordance with the provisions of the Audit Committee Charter and the Code.</w:t>
      </w: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 “related party” is any of the following:</w:t>
      </w:r>
    </w:p>
    <w:p>
      <w:pPr>
        <w:spacing w:after="0" w:line="206" w:lineRule="exact"/>
        <w:rPr>
          <w:sz w:val="20"/>
          <w:szCs w:val="20"/>
          <w:color w:val="auto"/>
        </w:rPr>
      </w:pPr>
    </w:p>
    <w:p>
      <w:pPr>
        <w:ind w:left="1280" w:hanging="637"/>
        <w:spacing w:after="0"/>
        <w:tabs>
          <w:tab w:leader="none" w:pos="12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of the Company;</w:t>
      </w:r>
    </w:p>
    <w:p>
      <w:pPr>
        <w:spacing w:after="0" w:line="165" w:lineRule="exact"/>
        <w:rPr>
          <w:rFonts w:ascii="Times New Roman" w:cs="Times New Roman" w:eastAsia="Times New Roman" w:hAnsi="Times New Roman"/>
          <w:sz w:val="22"/>
          <w:szCs w:val="22"/>
          <w:color w:val="auto"/>
        </w:rPr>
      </w:pPr>
    </w:p>
    <w:p>
      <w:pPr>
        <w:ind w:left="1280" w:hanging="637"/>
        <w:spacing w:after="0"/>
        <w:tabs>
          <w:tab w:leader="none" w:pos="12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(or director nominee) of the Company;</w:t>
      </w:r>
    </w:p>
    <w:p>
      <w:pPr>
        <w:spacing w:after="0" w:line="179" w:lineRule="exact"/>
        <w:rPr>
          <w:rFonts w:ascii="Times New Roman" w:cs="Times New Roman" w:eastAsia="Times New Roman" w:hAnsi="Times New Roman"/>
          <w:sz w:val="22"/>
          <w:szCs w:val="22"/>
          <w:color w:val="auto"/>
        </w:rPr>
      </w:pPr>
    </w:p>
    <w:p>
      <w:pPr>
        <w:ind w:left="1280" w:hanging="637"/>
        <w:spacing w:after="0"/>
        <w:tabs>
          <w:tab w:leader="none" w:pos="12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immediate family member of any executive officer or director (or director nominee);</w:t>
      </w:r>
    </w:p>
    <w:p>
      <w:pPr>
        <w:spacing w:after="0" w:line="219" w:lineRule="exact"/>
        <w:rPr>
          <w:rFonts w:ascii="Times New Roman" w:cs="Times New Roman" w:eastAsia="Times New Roman" w:hAnsi="Times New Roman"/>
          <w:sz w:val="22"/>
          <w:szCs w:val="22"/>
          <w:color w:val="auto"/>
        </w:rPr>
      </w:pPr>
    </w:p>
    <w:p>
      <w:pPr>
        <w:ind w:left="1280" w:hanging="637"/>
        <w:spacing w:after="0"/>
        <w:tabs>
          <w:tab w:leader="none" w:pos="12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beneficial owner of five percent or more of any class of the Company’s voting securities;</w:t>
      </w:r>
    </w:p>
    <w:p>
      <w:pPr>
        <w:spacing w:after="0" w:line="206" w:lineRule="exact"/>
        <w:rPr>
          <w:rFonts w:ascii="Times New Roman" w:cs="Times New Roman" w:eastAsia="Times New Roman" w:hAnsi="Times New Roman"/>
          <w:sz w:val="22"/>
          <w:szCs w:val="22"/>
          <w:color w:val="auto"/>
        </w:rPr>
      </w:pPr>
    </w:p>
    <w:p>
      <w:pPr>
        <w:ind w:left="1300" w:right="240" w:hanging="657"/>
        <w:spacing w:after="0" w:line="236" w:lineRule="auto"/>
        <w:tabs>
          <w:tab w:leader="none" w:pos="129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in which one of the above described persons has a substantial ownership interest or control of such entity; or</w:t>
      </w:r>
    </w:p>
    <w:p>
      <w:pPr>
        <w:spacing w:after="0" w:line="177" w:lineRule="exact"/>
        <w:rPr>
          <w:rFonts w:ascii="Times New Roman" w:cs="Times New Roman" w:eastAsia="Times New Roman" w:hAnsi="Times New Roman"/>
          <w:sz w:val="22"/>
          <w:szCs w:val="22"/>
          <w:color w:val="auto"/>
        </w:rPr>
      </w:pPr>
    </w:p>
    <w:p>
      <w:pPr>
        <w:ind w:left="1300" w:right="440" w:hanging="657"/>
        <w:spacing w:after="0" w:line="236" w:lineRule="auto"/>
        <w:tabs>
          <w:tab w:leader="none" w:pos="129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or entity that would be deemed to be a related person under Item 404 of SEC Regulation S-K or applicable Nasdaq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Originally Adopted by Board of Directors on October 31, 2019; Revised October 27, 2022</w:t>
      </w: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860"/>
          </w:cols>
          <w:pgMar w:left="440" w:top="1440" w:right="599" w:bottom="1440" w:gutter="0" w:footer="0" w:header="0"/>
        </w:sectPr>
      </w:pPr>
    </w:p>
    <w:bookmarkStart w:id="236" w:name="page237"/>
    <w:bookmarkEnd w:id="236"/>
    <w:p>
      <w:pPr>
        <w:ind w:left="7285"/>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8" w:lineRule="exact"/>
        <w:rPr>
          <w:sz w:val="20"/>
          <w:szCs w:val="20"/>
          <w:color w:val="auto"/>
        </w:rPr>
      </w:pPr>
    </w:p>
    <w:p>
      <w:pPr>
        <w:ind w:left="2425"/>
        <w:spacing w:after="0"/>
        <w:rPr>
          <w:sz w:val="20"/>
          <w:szCs w:val="20"/>
          <w:color w:val="auto"/>
        </w:rPr>
      </w:pPr>
      <w:r>
        <w:rPr>
          <w:rFonts w:ascii="Times New Roman" w:cs="Times New Roman" w:eastAsia="Times New Roman" w:hAnsi="Times New Roman"/>
          <w:sz w:val="22"/>
          <w:szCs w:val="22"/>
          <w:b w:val="1"/>
          <w:bCs w:val="1"/>
          <w:color w:val="auto"/>
        </w:rPr>
        <w:t>CAESARS ENTERTAINMENT, INC. CONFLICTS OF INTEREST POLICY</w:t>
      </w:r>
    </w:p>
    <w:p>
      <w:pPr>
        <w:spacing w:after="0" w:line="98" w:lineRule="exact"/>
        <w:rPr>
          <w:sz w:val="20"/>
          <w:szCs w:val="20"/>
          <w:color w:val="auto"/>
        </w:rPr>
      </w:pPr>
    </w:p>
    <w:p>
      <w:pPr>
        <w:ind w:left="645" w:hanging="644"/>
        <w:spacing w:after="0"/>
        <w:tabs>
          <w:tab w:leader="none" w:pos="645"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STATEMENT OF POLICY</w:t>
      </w:r>
    </w:p>
    <w:p>
      <w:pPr>
        <w:spacing w:after="0" w:line="291" w:lineRule="exact"/>
        <w:rPr>
          <w:sz w:val="20"/>
          <w:szCs w:val="20"/>
          <w:color w:val="auto"/>
        </w:rPr>
      </w:pPr>
    </w:p>
    <w:p>
      <w:pPr>
        <w:ind w:left="5" w:firstLine="648"/>
        <w:spacing w:after="0" w:line="212" w:lineRule="auto"/>
        <w:rPr>
          <w:sz w:val="20"/>
          <w:szCs w:val="20"/>
          <w:color w:val="auto"/>
        </w:rPr>
      </w:pPr>
      <w:r>
        <w:rPr>
          <w:rFonts w:ascii="Times New Roman" w:cs="Times New Roman" w:eastAsia="Times New Roman" w:hAnsi="Times New Roman"/>
          <w:sz w:val="22"/>
          <w:szCs w:val="22"/>
          <w:color w:val="auto"/>
        </w:rPr>
        <w:t>It is the policy of Caesars Entertainment, Inc. and its subsidiaries (the “Company”) that directors, officers and employees (“covered persons”) at all levels be free from any interest, influence or relationship that might conflict, or appear to conflict, with the best interests of the Company, and that they perform their work with undivided loyalty as measured by the highest standards of law and ethics. The existence of an actual or potential conflict of interest depends on specific facts. The principles discussed here are intended to alert covered persons to the possibilities and furnish general guidance. In any uncertain situation, the covered persons should immediately discuss the matter fully and frankly with his/her supervisor. Where there is any doubt as to the existence of a conflict of interest, the situation should be disclosed fully, in writing, to the Compliance Officer (as defined in the Code of Ethics and Business Conduct).</w:t>
      </w:r>
    </w:p>
    <w:p>
      <w:pPr>
        <w:spacing w:after="0" w:line="193" w:lineRule="exact"/>
        <w:rPr>
          <w:sz w:val="20"/>
          <w:szCs w:val="20"/>
          <w:color w:val="auto"/>
        </w:rPr>
      </w:pPr>
    </w:p>
    <w:p>
      <w:pPr>
        <w:ind w:left="645" w:hanging="645"/>
        <w:spacing w:after="0"/>
        <w:tabs>
          <w:tab w:leader="none" w:pos="645"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OF COVERAGE</w:t>
      </w:r>
    </w:p>
    <w:p>
      <w:pPr>
        <w:spacing w:after="0" w:line="210" w:lineRule="exact"/>
        <w:rPr>
          <w:sz w:val="20"/>
          <w:szCs w:val="20"/>
          <w:color w:val="auto"/>
        </w:rPr>
      </w:pPr>
    </w:p>
    <w:p>
      <w:pPr>
        <w:ind w:left="5" w:right="340" w:firstLine="648"/>
        <w:spacing w:after="0" w:line="220" w:lineRule="auto"/>
        <w:rPr>
          <w:sz w:val="20"/>
          <w:szCs w:val="20"/>
          <w:color w:val="auto"/>
        </w:rPr>
      </w:pPr>
      <w:r>
        <w:rPr>
          <w:rFonts w:ascii="Times New Roman" w:cs="Times New Roman" w:eastAsia="Times New Roman" w:hAnsi="Times New Roman"/>
          <w:sz w:val="22"/>
          <w:szCs w:val="22"/>
          <w:color w:val="auto"/>
        </w:rPr>
        <w:t>This policy applies to both direct and indirect interests of a covered person and members of his or her immediate family. It extends to transactions by any person who may act on behalf of such covered person or family members in connection with such interests. In general, a covered person will be regarded as having a beneficial interest in any property owned or any transactions entered into by such covered person’s spouse or minor children.</w:t>
      </w:r>
    </w:p>
    <w:p>
      <w:pPr>
        <w:spacing w:after="0" w:line="193" w:lineRule="exact"/>
        <w:rPr>
          <w:sz w:val="20"/>
          <w:szCs w:val="20"/>
          <w:color w:val="auto"/>
        </w:rPr>
      </w:pPr>
    </w:p>
    <w:p>
      <w:pPr>
        <w:ind w:left="5" w:right="640" w:firstLine="648"/>
        <w:spacing w:after="0" w:line="236" w:lineRule="auto"/>
        <w:rPr>
          <w:sz w:val="20"/>
          <w:szCs w:val="20"/>
          <w:color w:val="auto"/>
        </w:rPr>
      </w:pPr>
      <w:r>
        <w:rPr>
          <w:rFonts w:ascii="Times New Roman" w:cs="Times New Roman" w:eastAsia="Times New Roman" w:hAnsi="Times New Roman"/>
          <w:sz w:val="22"/>
          <w:szCs w:val="22"/>
          <w:color w:val="auto"/>
        </w:rPr>
        <w:t>Further, this policy is applicable to all parts of the Company including all domestic and foreign subsidiaries and affiliated companies.</w:t>
      </w:r>
    </w:p>
    <w:p>
      <w:pPr>
        <w:spacing w:after="0" w:line="187" w:lineRule="exact"/>
        <w:rPr>
          <w:sz w:val="20"/>
          <w:szCs w:val="20"/>
          <w:color w:val="auto"/>
        </w:rPr>
      </w:pPr>
    </w:p>
    <w:p>
      <w:pPr>
        <w:ind w:left="1285" w:hanging="637"/>
        <w:spacing w:after="0"/>
        <w:tabs>
          <w:tab w:leader="none" w:pos="1285"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Common Conflict of Interest Situations</w:t>
      </w:r>
    </w:p>
    <w:p>
      <w:pPr>
        <w:spacing w:after="0" w:line="210" w:lineRule="exact"/>
        <w:rPr>
          <w:sz w:val="20"/>
          <w:szCs w:val="20"/>
          <w:color w:val="auto"/>
        </w:rPr>
      </w:pPr>
    </w:p>
    <w:p>
      <w:pPr>
        <w:jc w:val="both"/>
        <w:ind w:left="5" w:right="40" w:firstLine="648"/>
        <w:spacing w:after="0" w:line="225" w:lineRule="auto"/>
        <w:rPr>
          <w:sz w:val="20"/>
          <w:szCs w:val="20"/>
          <w:color w:val="auto"/>
        </w:rPr>
      </w:pPr>
      <w:r>
        <w:rPr>
          <w:rFonts w:ascii="Times New Roman" w:cs="Times New Roman" w:eastAsia="Times New Roman" w:hAnsi="Times New Roman"/>
          <w:sz w:val="22"/>
          <w:szCs w:val="22"/>
          <w:color w:val="auto"/>
        </w:rPr>
        <w:t>The following sections describe a number of common categories of conflicts of interest. They illustrate the application of Company policy to certain particular situations where conflicts are most likely to arise. They are not all-inclusive, however, and do not cover all possible situations where conflicts might occur in violation of Company policy:</w:t>
      </w:r>
    </w:p>
    <w:p>
      <w:pPr>
        <w:spacing w:after="0" w:line="189" w:lineRule="exact"/>
        <w:rPr>
          <w:sz w:val="20"/>
          <w:szCs w:val="20"/>
          <w:color w:val="auto"/>
        </w:rPr>
      </w:pPr>
    </w:p>
    <w:p>
      <w:pPr>
        <w:ind w:left="1285" w:hanging="637"/>
        <w:spacing w:after="0"/>
        <w:tabs>
          <w:tab w:leader="none" w:pos="1285"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Relationships with Vendors, Purchasers and Competitors of the Company</w:t>
      </w:r>
    </w:p>
    <w:p>
      <w:pPr>
        <w:spacing w:after="0" w:line="224" w:lineRule="exact"/>
        <w:rPr>
          <w:sz w:val="20"/>
          <w:szCs w:val="20"/>
          <w:color w:val="auto"/>
        </w:rPr>
      </w:pPr>
    </w:p>
    <w:p>
      <w:pPr>
        <w:ind w:left="5" w:right="40" w:firstLine="648"/>
        <w:spacing w:after="0" w:line="213" w:lineRule="auto"/>
        <w:rPr>
          <w:sz w:val="20"/>
          <w:szCs w:val="20"/>
          <w:color w:val="auto"/>
        </w:rPr>
      </w:pPr>
      <w:r>
        <w:rPr>
          <w:rFonts w:ascii="Times New Roman" w:cs="Times New Roman" w:eastAsia="Times New Roman" w:hAnsi="Times New Roman"/>
          <w:sz w:val="22"/>
          <w:szCs w:val="22"/>
          <w:color w:val="auto"/>
        </w:rPr>
        <w:t>Any covered person who holds any position or employment with, or who receives any compensation, credits or loans from, or who owns or acquires, directly or indirectly, a beneficial interest in, or rights to the profits of income of, any concern he or she has reason to believe may supply products or services to, or purchase from, or compete with, the Company, is required to disclose the full details concerning such interest or relationship. In such circumstances, a conflict may arise if such covered person is in a position to influence decisions with respect to any Company transaction involving such other party and if the interest or relationship is such that it might bring into question such covered person’s continued ability to make independent, impartial judgments in the Company’s best interest. In this connection, the mere ownership of</w:t>
      </w:r>
    </w:p>
    <w:p>
      <w:pPr>
        <w:spacing w:after="0" w:line="200" w:lineRule="exact"/>
        <w:rPr>
          <w:sz w:val="20"/>
          <w:szCs w:val="20"/>
          <w:color w:val="auto"/>
        </w:rPr>
      </w:pPr>
    </w:p>
    <w:p>
      <w:pPr>
        <w:spacing w:after="0" w:line="339"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45"/>
          </w:cols>
          <w:pgMar w:left="435" w:top="1391" w:right="519" w:bottom="1440" w:gutter="0" w:footer="0" w:header="0"/>
        </w:sectPr>
      </w:pPr>
    </w:p>
    <w:bookmarkStart w:id="237" w:name="page238"/>
    <w:bookmarkEnd w:id="237"/>
    <w:p>
      <w:pPr>
        <w:ind w:left="120" w:right="260"/>
        <w:spacing w:after="0" w:line="236" w:lineRule="auto"/>
        <w:rPr>
          <w:sz w:val="20"/>
          <w:szCs w:val="20"/>
          <w:color w:val="auto"/>
        </w:rPr>
      </w:pPr>
      <w:r>
        <w:rPr>
          <w:rFonts w:ascii="Times New Roman" w:cs="Times New Roman" w:eastAsia="Times New Roman" w:hAnsi="Times New Roman"/>
          <w:sz w:val="22"/>
          <w:szCs w:val="22"/>
          <w:color w:val="auto"/>
        </w:rPr>
        <w:t>securities of a vendor, purchaser or competitor which are listed on a stock exchange or publicly traded in a recognized over-the-counter market and amounting to less than one percent of the class outstanding, need not be reported.</w:t>
      </w:r>
    </w:p>
    <w:p>
      <w:pPr>
        <w:spacing w:after="0" w:line="173" w:lineRule="exact"/>
        <w:rPr>
          <w:sz w:val="20"/>
          <w:szCs w:val="20"/>
          <w:color w:val="auto"/>
        </w:rPr>
      </w:pPr>
    </w:p>
    <w:p>
      <w:pPr>
        <w:ind w:left="1400" w:hanging="637"/>
        <w:spacing w:after="0"/>
        <w:tabs>
          <w:tab w:leader="none" w:pos="140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or Favors</w:t>
      </w:r>
    </w:p>
    <w:p>
      <w:pPr>
        <w:spacing w:after="0" w:line="224" w:lineRule="exact"/>
        <w:rPr>
          <w:sz w:val="20"/>
          <w:szCs w:val="20"/>
          <w:color w:val="auto"/>
        </w:rPr>
      </w:pPr>
    </w:p>
    <w:p>
      <w:pPr>
        <w:ind w:left="120" w:right="380" w:firstLine="648"/>
        <w:spacing w:after="0" w:line="225" w:lineRule="auto"/>
        <w:rPr>
          <w:sz w:val="20"/>
          <w:szCs w:val="20"/>
          <w:color w:val="auto"/>
        </w:rPr>
      </w:pPr>
      <w:r>
        <w:rPr>
          <w:rFonts w:ascii="Times New Roman" w:cs="Times New Roman" w:eastAsia="Times New Roman" w:hAnsi="Times New Roman"/>
          <w:sz w:val="22"/>
          <w:szCs w:val="22"/>
          <w:color w:val="auto"/>
        </w:rPr>
        <w:t>A covered person may not solicit money, entertainment, hospitality, gifts or favors, including the below market purchases of goods or services (collectively, “gifts”), from any individual or concern which a covered person has reason to believe may transact business, or may seek to transact business, with the Company.</w:t>
      </w:r>
    </w:p>
    <w:p>
      <w:pPr>
        <w:spacing w:after="0" w:line="180" w:lineRule="exact"/>
        <w:rPr>
          <w:sz w:val="20"/>
          <w:szCs w:val="20"/>
          <w:color w:val="auto"/>
        </w:rPr>
      </w:pPr>
    </w:p>
    <w:p>
      <w:pPr>
        <w:ind w:left="120" w:right="60" w:firstLine="648"/>
        <w:spacing w:after="0" w:line="225" w:lineRule="auto"/>
        <w:rPr>
          <w:sz w:val="20"/>
          <w:szCs w:val="20"/>
          <w:color w:val="auto"/>
        </w:rPr>
      </w:pPr>
      <w:r>
        <w:rPr>
          <w:rFonts w:ascii="Times New Roman" w:cs="Times New Roman" w:eastAsia="Times New Roman" w:hAnsi="Times New Roman"/>
          <w:sz w:val="22"/>
          <w:szCs w:val="22"/>
          <w:color w:val="auto"/>
        </w:rPr>
        <w:t>Covered persons in one of the Company’s purchasing departments, or covered persons whose primary responsibility is to purchase supplies or services on behalf of the Company, may not accept gifts from any individual or concern which a covered person has reason to believe may transact business, or may seek to transact business, with the Company.</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Other covered persons may accept gifts provided that:</w:t>
      </w:r>
    </w:p>
    <w:p>
      <w:pPr>
        <w:spacing w:after="0" w:line="220" w:lineRule="exact"/>
        <w:rPr>
          <w:sz w:val="20"/>
          <w:szCs w:val="20"/>
          <w:color w:val="auto"/>
        </w:rPr>
      </w:pPr>
    </w:p>
    <w:p>
      <w:pPr>
        <w:ind w:left="120" w:right="180" w:firstLine="644"/>
        <w:spacing w:after="0" w:line="236" w:lineRule="auto"/>
        <w:tabs>
          <w:tab w:leader="none" w:pos="129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such gift (and the collective value of all such gifts from the same individual or concern in the same calendar year) is trivial and inconsequential (generally $500 or less); or</w:t>
      </w:r>
    </w:p>
    <w:p>
      <w:pPr>
        <w:spacing w:after="0" w:line="177" w:lineRule="exact"/>
        <w:rPr>
          <w:rFonts w:ascii="Times New Roman" w:cs="Times New Roman" w:eastAsia="Times New Roman" w:hAnsi="Times New Roman"/>
          <w:sz w:val="22"/>
          <w:szCs w:val="22"/>
          <w:color w:val="auto"/>
        </w:rPr>
      </w:pPr>
    </w:p>
    <w:p>
      <w:pPr>
        <w:ind w:left="120" w:right="340" w:firstLine="643"/>
        <w:spacing w:after="0" w:line="223" w:lineRule="auto"/>
        <w:tabs>
          <w:tab w:leader="none" w:pos="130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gifts involving entertainment or hospitality are not excessive or lavish under the circumstances as determined by the Compliance Officer</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and, if such gift includes travel, it is also approved by the covered person’s supervisor.</w:t>
      </w:r>
    </w:p>
    <w:p>
      <w:pPr>
        <w:spacing w:after="0" w:line="176" w:lineRule="exact"/>
        <w:rPr>
          <w:sz w:val="20"/>
          <w:szCs w:val="20"/>
          <w:color w:val="auto"/>
        </w:rPr>
      </w:pPr>
    </w:p>
    <w:p>
      <w:pPr>
        <w:ind w:left="120" w:firstLine="648"/>
        <w:spacing w:after="0" w:line="236" w:lineRule="auto"/>
        <w:rPr>
          <w:sz w:val="20"/>
          <w:szCs w:val="20"/>
          <w:color w:val="auto"/>
        </w:rPr>
      </w:pPr>
      <w:r>
        <w:rPr>
          <w:rFonts w:ascii="Times New Roman" w:cs="Times New Roman" w:eastAsia="Times New Roman" w:hAnsi="Times New Roman"/>
          <w:sz w:val="22"/>
          <w:szCs w:val="22"/>
          <w:color w:val="auto"/>
        </w:rPr>
        <w:t>All offers of gifts or favors beyond this policy should be immediately reported to the employee’s supervisor, in the case of a covered person who is an employee, and to the Compliance Officer.</w:t>
      </w:r>
    </w:p>
    <w:p>
      <w:pPr>
        <w:spacing w:after="0" w:line="187" w:lineRule="exact"/>
        <w:rPr>
          <w:sz w:val="20"/>
          <w:szCs w:val="20"/>
          <w:color w:val="auto"/>
        </w:rPr>
      </w:pPr>
    </w:p>
    <w:p>
      <w:pPr>
        <w:ind w:left="1400" w:hanging="637"/>
        <w:spacing w:after="0"/>
        <w:tabs>
          <w:tab w:leader="none" w:pos="140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Sensitive Payments</w:t>
      </w:r>
    </w:p>
    <w:p>
      <w:pPr>
        <w:spacing w:after="0" w:line="210" w:lineRule="exact"/>
        <w:rPr>
          <w:sz w:val="20"/>
          <w:szCs w:val="20"/>
          <w:color w:val="auto"/>
        </w:rPr>
      </w:pPr>
    </w:p>
    <w:p>
      <w:pPr>
        <w:ind w:left="120" w:right="760" w:firstLine="648"/>
        <w:spacing w:after="0" w:line="236" w:lineRule="auto"/>
        <w:rPr>
          <w:sz w:val="20"/>
          <w:szCs w:val="20"/>
          <w:color w:val="auto"/>
        </w:rPr>
      </w:pPr>
      <w:r>
        <w:rPr>
          <w:rFonts w:ascii="Times New Roman" w:cs="Times New Roman" w:eastAsia="Times New Roman" w:hAnsi="Times New Roman"/>
          <w:sz w:val="22"/>
          <w:szCs w:val="22"/>
          <w:color w:val="auto"/>
        </w:rPr>
        <w:t>The use of the Company funds or assets by employees for any unlawful purpose is strictly prohibited. Covered persons shall not:</w:t>
      </w:r>
    </w:p>
    <w:p>
      <w:pPr>
        <w:spacing w:after="0" w:line="191" w:lineRule="exact"/>
        <w:rPr>
          <w:sz w:val="20"/>
          <w:szCs w:val="20"/>
          <w:color w:val="auto"/>
        </w:rPr>
      </w:pPr>
    </w:p>
    <w:p>
      <w:pPr>
        <w:ind w:left="2060" w:hanging="649"/>
        <w:spacing w:after="0"/>
        <w:tabs>
          <w:tab w:leader="none" w:pos="20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for any purpose undisclosed or unrecorded funds or assets of the Company.</w:t>
      </w:r>
    </w:p>
    <w:p>
      <w:pPr>
        <w:spacing w:after="0" w:line="219" w:lineRule="exact"/>
        <w:rPr>
          <w:rFonts w:ascii="Times New Roman" w:cs="Times New Roman" w:eastAsia="Times New Roman" w:hAnsi="Times New Roman"/>
          <w:sz w:val="22"/>
          <w:szCs w:val="22"/>
          <w:color w:val="auto"/>
        </w:rPr>
      </w:pPr>
    </w:p>
    <w:p>
      <w:pPr>
        <w:ind w:left="2060" w:hanging="649"/>
        <w:spacing w:after="0"/>
        <w:tabs>
          <w:tab w:leader="none" w:pos="20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false or artificial entries in the books and records of the Company for any reason.</w:t>
      </w:r>
    </w:p>
    <w:p>
      <w:pPr>
        <w:spacing w:after="0" w:line="206" w:lineRule="exact"/>
        <w:rPr>
          <w:rFonts w:ascii="Times New Roman" w:cs="Times New Roman" w:eastAsia="Times New Roman" w:hAnsi="Times New Roman"/>
          <w:sz w:val="22"/>
          <w:szCs w:val="22"/>
          <w:color w:val="auto"/>
        </w:rPr>
      </w:pPr>
    </w:p>
    <w:p>
      <w:pPr>
        <w:ind w:left="2060" w:hanging="649"/>
        <w:spacing w:after="0"/>
        <w:tabs>
          <w:tab w:leader="none" w:pos="20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arrangement that results in such prohibited acts.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67" w:lineRule="exact"/>
        <w:rPr>
          <w:sz w:val="20"/>
          <w:szCs w:val="20"/>
          <w:color w:val="auto"/>
        </w:rPr>
      </w:pPr>
    </w:p>
    <w:p>
      <w:pPr>
        <w:ind w:left="120" w:right="200" w:hanging="5"/>
        <w:spacing w:after="0" w:line="207" w:lineRule="auto"/>
        <w:tabs>
          <w:tab w:leader="none" w:pos="223" w:val="left"/>
        </w:tabs>
        <w:numPr>
          <w:ilvl w:val="0"/>
          <w:numId w:val="1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By way of example, gifts of entertainment or hospitality that would generally be permitted include regular season sporting or cultural events (e.g., baseball or football games, ballet, symphony, and theater) and local golf outings. Depending upon the circumstances, special events such as exclusive cultural events and post-season sporting events may be permitted as determined by the Company’s Compliance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80"/>
          </w:cols>
          <w:pgMar w:left="320" w:top="1395" w:right="499" w:bottom="1440" w:gutter="0" w:footer="0" w:header="0"/>
        </w:sectPr>
      </w:pPr>
    </w:p>
    <w:bookmarkStart w:id="238" w:name="page239"/>
    <w:bookmarkEnd w:id="238"/>
    <w:p>
      <w:pPr>
        <w:spacing w:after="0" w:line="198" w:lineRule="exact"/>
        <w:rPr>
          <w:sz w:val="20"/>
          <w:szCs w:val="20"/>
          <w:color w:val="auto"/>
        </w:rPr>
      </w:pPr>
    </w:p>
    <w:p>
      <w:pPr>
        <w:ind w:left="5" w:right="700" w:firstLine="648"/>
        <w:spacing w:after="0" w:line="236" w:lineRule="auto"/>
        <w:rPr>
          <w:sz w:val="20"/>
          <w:szCs w:val="20"/>
          <w:color w:val="auto"/>
        </w:rPr>
      </w:pPr>
      <w:r>
        <w:rPr>
          <w:rFonts w:ascii="Times New Roman" w:cs="Times New Roman" w:eastAsia="Times New Roman" w:hAnsi="Times New Roman"/>
          <w:sz w:val="22"/>
          <w:szCs w:val="22"/>
          <w:color w:val="auto"/>
        </w:rPr>
        <w:t>Any covered person having information or knowledge of any unrecorded fund or asset or any prohibited act shall promptly report such matter to the Compliance Officer.</w:t>
      </w:r>
    </w:p>
    <w:p>
      <w:pPr>
        <w:spacing w:after="0" w:line="173" w:lineRule="exact"/>
        <w:rPr>
          <w:sz w:val="20"/>
          <w:szCs w:val="20"/>
          <w:color w:val="auto"/>
        </w:rPr>
      </w:pPr>
    </w:p>
    <w:p>
      <w:pPr>
        <w:ind w:left="1285" w:hanging="636"/>
        <w:spacing w:after="0"/>
        <w:tabs>
          <w:tab w:leader="none" w:pos="1285"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Foreign Transactions and Payments</w:t>
      </w:r>
    </w:p>
    <w:p>
      <w:pPr>
        <w:spacing w:after="0" w:line="224" w:lineRule="exact"/>
        <w:rPr>
          <w:sz w:val="20"/>
          <w:szCs w:val="20"/>
          <w:color w:val="auto"/>
        </w:rPr>
      </w:pPr>
    </w:p>
    <w:p>
      <w:pPr>
        <w:jc w:val="both"/>
        <w:ind w:left="5" w:firstLine="648"/>
        <w:spacing w:after="0" w:line="225" w:lineRule="auto"/>
        <w:rPr>
          <w:sz w:val="20"/>
          <w:szCs w:val="20"/>
          <w:color w:val="auto"/>
        </w:rPr>
      </w:pPr>
      <w:r>
        <w:rPr>
          <w:rFonts w:ascii="Times New Roman" w:cs="Times New Roman" w:eastAsia="Times New Roman" w:hAnsi="Times New Roman"/>
          <w:sz w:val="22"/>
          <w:szCs w:val="22"/>
          <w:color w:val="auto"/>
        </w:rPr>
        <w:t>Having due regard for the responsibilities relating to international operations, it is the Company’s policy that all covered persons and agents comply with the ethical standards and applicable legal requirements of the Foreign Corrupt Practices Act and of each foreign country in which business is conducted.</w:t>
      </w:r>
    </w:p>
    <w:p>
      <w:pPr>
        <w:spacing w:after="0" w:line="179" w:lineRule="exact"/>
        <w:rPr>
          <w:sz w:val="20"/>
          <w:szCs w:val="20"/>
          <w:color w:val="auto"/>
        </w:rPr>
      </w:pPr>
    </w:p>
    <w:p>
      <w:pPr>
        <w:ind w:left="5" w:right="480" w:firstLine="648"/>
        <w:spacing w:after="0" w:line="217" w:lineRule="auto"/>
        <w:rPr>
          <w:sz w:val="20"/>
          <w:szCs w:val="20"/>
          <w:color w:val="auto"/>
        </w:rPr>
      </w:pPr>
      <w:r>
        <w:rPr>
          <w:rFonts w:ascii="Times New Roman" w:cs="Times New Roman" w:eastAsia="Times New Roman" w:hAnsi="Times New Roman"/>
          <w:sz w:val="22"/>
          <w:szCs w:val="22"/>
          <w:color w:val="auto"/>
        </w:rPr>
        <w:t>The Foreign Corrupt Practices Act makes it a criminal offense for a United States company or agent acting on its behalf to pay anything of value to any foreign government official to influence any official action in securing, retaining, or directing business. This prohibition applies to bribes, kick-backs or like payments made directly to such foreign officials or indirectly through seemingly legitimate payments such as commissions or consulting fees paid to overseas agents or representatives.</w:t>
      </w:r>
    </w:p>
    <w:p>
      <w:pPr>
        <w:spacing w:after="0" w:line="189" w:lineRule="exact"/>
        <w:rPr>
          <w:sz w:val="20"/>
          <w:szCs w:val="20"/>
          <w:color w:val="auto"/>
        </w:rPr>
      </w:pPr>
    </w:p>
    <w:p>
      <w:pPr>
        <w:ind w:left="1265" w:hanging="617"/>
        <w:spacing w:after="0"/>
        <w:tabs>
          <w:tab w:leader="none" w:pos="1265"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Political Campaign Contributions</w:t>
      </w:r>
    </w:p>
    <w:p>
      <w:pPr>
        <w:spacing w:after="0" w:line="224" w:lineRule="exact"/>
        <w:rPr>
          <w:sz w:val="20"/>
          <w:szCs w:val="20"/>
          <w:color w:val="auto"/>
        </w:rPr>
      </w:pPr>
    </w:p>
    <w:p>
      <w:pPr>
        <w:jc w:val="both"/>
        <w:ind w:left="5" w:right="260" w:firstLine="648"/>
        <w:spacing w:after="0" w:line="225" w:lineRule="auto"/>
        <w:rPr>
          <w:sz w:val="20"/>
          <w:szCs w:val="20"/>
          <w:color w:val="auto"/>
        </w:rPr>
      </w:pPr>
      <w:r>
        <w:rPr>
          <w:rFonts w:ascii="Times New Roman" w:cs="Times New Roman" w:eastAsia="Times New Roman" w:hAnsi="Times New Roman"/>
          <w:sz w:val="22"/>
          <w:szCs w:val="22"/>
          <w:color w:val="auto"/>
        </w:rPr>
        <w:t>Political campaign contributions include direct expenditures or contributions, in cash or property, to candidates for nomination or election to public office or to political parties, as well as indirect assistance or support such as the furnishing of goods, services or equipment, or other political fund-raising events.</w:t>
      </w:r>
    </w:p>
    <w:p>
      <w:pPr>
        <w:spacing w:after="0" w:line="179" w:lineRule="exact"/>
        <w:rPr>
          <w:sz w:val="20"/>
          <w:szCs w:val="20"/>
          <w:color w:val="auto"/>
        </w:rPr>
      </w:pPr>
    </w:p>
    <w:p>
      <w:pPr>
        <w:ind w:left="5" w:right="180" w:firstLine="648"/>
        <w:spacing w:after="0" w:line="225" w:lineRule="auto"/>
        <w:rPr>
          <w:sz w:val="20"/>
          <w:szCs w:val="20"/>
          <w:color w:val="auto"/>
        </w:rPr>
      </w:pPr>
      <w:r>
        <w:rPr>
          <w:rFonts w:ascii="Times New Roman" w:cs="Times New Roman" w:eastAsia="Times New Roman" w:hAnsi="Times New Roman"/>
          <w:sz w:val="21"/>
          <w:szCs w:val="21"/>
          <w:color w:val="auto"/>
        </w:rPr>
        <w:t>No political campaign contributions shall be made by the Company in cash or by any other means whereby the amount or origin of the contribution cannot be readily established by reference to the documents and records of the Company. All contributions shall be made to the candidates authorized campaign committee, or to a political party, or to other recipients who may legally receive such contributions and all reporting requirements of the state or local jurisdictions shall be complied with. Each contribution shall be clearly recorded on the Company’s books as a political campaign contribution or its equivalent and shall not be deducted for federal, state or local income tax purposes unless authorized under applicable law.</w:t>
      </w:r>
    </w:p>
    <w:p>
      <w:pPr>
        <w:spacing w:after="0" w:line="194" w:lineRule="exact"/>
        <w:rPr>
          <w:sz w:val="20"/>
          <w:szCs w:val="20"/>
          <w:color w:val="auto"/>
        </w:rPr>
      </w:pPr>
    </w:p>
    <w:p>
      <w:pPr>
        <w:ind w:left="5" w:right="480" w:firstLine="648"/>
        <w:spacing w:after="0" w:line="217" w:lineRule="auto"/>
        <w:rPr>
          <w:sz w:val="20"/>
          <w:szCs w:val="20"/>
          <w:color w:val="auto"/>
        </w:rPr>
      </w:pPr>
      <w:r>
        <w:rPr>
          <w:rFonts w:ascii="Times New Roman" w:cs="Times New Roman" w:eastAsia="Times New Roman" w:hAnsi="Times New Roman"/>
          <w:sz w:val="22"/>
          <w:szCs w:val="22"/>
          <w:color w:val="auto"/>
        </w:rPr>
        <w:t>The Foreign Corrupt Practices Act also prohibits contributions to foreign political parties or candidates for foreign political office for the purpose of influencing their actions to secure, retain or direct business. The prohibition applies regardless of whether the contribution is lawful under the laws of the country in which it is made. Accordingly, company policy strictly prohibits any payments with corporate funds, to, or any use of corporate assets for the benefit of, any foreign political party or candidate for political office.</w:t>
      </w:r>
    </w:p>
    <w:p>
      <w:pPr>
        <w:spacing w:after="0" w:line="189" w:lineRule="exact"/>
        <w:rPr>
          <w:sz w:val="20"/>
          <w:szCs w:val="20"/>
          <w:color w:val="auto"/>
        </w:rPr>
      </w:pPr>
    </w:p>
    <w:p>
      <w:pPr>
        <w:ind w:left="645" w:right="4520" w:hanging="645"/>
        <w:spacing w:after="0" w:line="469" w:lineRule="auto"/>
        <w:tabs>
          <w:tab w:leader="none" w:pos="641"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SUMMARY OF GENERAL OBLIGATIONS OF EMPLOYEES </w:t>
      </w:r>
      <w:r>
        <w:rPr>
          <w:rFonts w:ascii="Times New Roman" w:cs="Times New Roman" w:eastAsia="Times New Roman" w:hAnsi="Times New Roman"/>
          <w:sz w:val="21"/>
          <w:szCs w:val="21"/>
          <w:color w:val="auto"/>
        </w:rPr>
        <w:t>Under this policy, covered persons are responsible for:</w:t>
      </w:r>
    </w:p>
    <w:p>
      <w:pPr>
        <w:spacing w:after="0" w:line="1" w:lineRule="exact"/>
        <w:rPr>
          <w:rFonts w:ascii="Times New Roman" w:cs="Times New Roman" w:eastAsia="Times New Roman" w:hAnsi="Times New Roman"/>
          <w:sz w:val="21"/>
          <w:szCs w:val="21"/>
          <w:b w:val="1"/>
          <w:bCs w:val="1"/>
          <w:color w:val="auto"/>
        </w:rPr>
      </w:pPr>
    </w:p>
    <w:p>
      <w:pPr>
        <w:ind w:left="1285" w:right="300" w:hanging="648"/>
        <w:spacing w:after="0" w:line="250" w:lineRule="auto"/>
        <w:rPr>
          <w:rFonts w:ascii="Times New Roman" w:cs="Times New Roman" w:eastAsia="Times New Roman" w:hAnsi="Times New Roman"/>
          <w:sz w:val="21"/>
          <w:szCs w:val="21"/>
          <w:b w:val="1"/>
          <w:bCs w:val="1"/>
          <w:color w:val="auto"/>
        </w:rPr>
      </w:pPr>
      <w:r>
        <w:rPr>
          <w:rFonts w:ascii="Courier New" w:cs="Courier New" w:eastAsia="Courier New" w:hAnsi="Courier New"/>
          <w:sz w:val="22"/>
          <w:szCs w:val="22"/>
          <w:color w:val="auto"/>
        </w:rPr>
        <w:t>o</w:t>
      </w:r>
      <w:r>
        <w:rPr>
          <w:rFonts w:ascii="Times New Roman" w:cs="Times New Roman" w:eastAsia="Times New Roman" w:hAnsi="Times New Roman"/>
          <w:sz w:val="22"/>
          <w:szCs w:val="22"/>
          <w:color w:val="auto"/>
        </w:rPr>
        <w:t>Full and immediate disclosure to the Compliance Officer of any interest which they or members of their immediate families have at the time of association with the Company, or acquire during such covered person’s association with the Company, which create or appear to create a possible conflict with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25"/>
          </w:cols>
          <w:pgMar w:left="435" w:top="1440" w:right="339" w:bottom="1440" w:gutter="0" w:footer="0" w:header="0"/>
        </w:sectPr>
      </w:pPr>
    </w:p>
    <w:bookmarkStart w:id="239" w:name="page240"/>
    <w:bookmarkEnd w:id="239"/>
    <w:p>
      <w:pPr>
        <w:spacing w:after="0" w:line="198" w:lineRule="exact"/>
        <w:rPr>
          <w:sz w:val="20"/>
          <w:szCs w:val="20"/>
          <w:color w:val="auto"/>
        </w:rPr>
      </w:pPr>
    </w:p>
    <w:p>
      <w:pPr>
        <w:ind w:left="1304" w:right="680"/>
        <w:spacing w:after="0" w:line="255" w:lineRule="auto"/>
        <w:rPr>
          <w:sz w:val="20"/>
          <w:szCs w:val="20"/>
          <w:color w:val="auto"/>
        </w:rPr>
      </w:pPr>
      <w:r>
        <w:rPr>
          <w:rFonts w:ascii="Times New Roman" w:cs="Times New Roman" w:eastAsia="Times New Roman" w:hAnsi="Times New Roman"/>
          <w:sz w:val="21"/>
          <w:szCs w:val="21"/>
          <w:color w:val="auto"/>
        </w:rPr>
        <w:t>Company’s interests. In furtherance of this, all new employees will be routinely provided a copy of the Conflicts of Interest Policy and will be required to execute a signed acknowledgement of its receipt; and</w:t>
      </w:r>
    </w:p>
    <w:p>
      <w:pPr>
        <w:spacing w:after="0" w:line="175" w:lineRule="exact"/>
        <w:rPr>
          <w:sz w:val="20"/>
          <w:szCs w:val="20"/>
          <w:color w:val="auto"/>
        </w:rPr>
      </w:pPr>
    </w:p>
    <w:p>
      <w:pPr>
        <w:ind w:left="1304" w:right="720" w:hanging="656"/>
        <w:spacing w:after="0" w:line="253" w:lineRule="auto"/>
        <w:tabs>
          <w:tab w:leader="none" w:pos="1299" w:val="left"/>
        </w:tabs>
        <w:numPr>
          <w:ilvl w:val="0"/>
          <w:numId w:val="13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Taking any actions regarded by the Company as being necessary to eliminate or satisfactorily regulate a conflict of interest situation.</w:t>
      </w:r>
    </w:p>
    <w:p>
      <w:pPr>
        <w:spacing w:after="0" w:line="159" w:lineRule="exact"/>
        <w:rPr>
          <w:sz w:val="20"/>
          <w:szCs w:val="20"/>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FAILURE TO COMPLY</w:t>
      </w:r>
    </w:p>
    <w:p>
      <w:pPr>
        <w:spacing w:after="0" w:line="224" w:lineRule="exact"/>
        <w:rPr>
          <w:sz w:val="20"/>
          <w:szCs w:val="20"/>
          <w:color w:val="auto"/>
        </w:rPr>
      </w:pPr>
    </w:p>
    <w:p>
      <w:pPr>
        <w:ind w:left="4" w:right="180" w:firstLine="648"/>
        <w:spacing w:after="0" w:line="236" w:lineRule="auto"/>
        <w:rPr>
          <w:sz w:val="20"/>
          <w:szCs w:val="20"/>
          <w:color w:val="auto"/>
        </w:rPr>
      </w:pPr>
      <w:r>
        <w:rPr>
          <w:rFonts w:ascii="Times New Roman" w:cs="Times New Roman" w:eastAsia="Times New Roman" w:hAnsi="Times New Roman"/>
          <w:sz w:val="22"/>
          <w:szCs w:val="22"/>
          <w:color w:val="auto"/>
        </w:rPr>
        <w:t>Failure to comply with this policy and procedures can result in disciplinary actions up to and including termination of employment, and/or initiation of appropriate legal action.</w:t>
      </w:r>
    </w:p>
    <w:p>
      <w:pPr>
        <w:spacing w:after="0" w:line="187" w:lineRule="exact"/>
        <w:rPr>
          <w:sz w:val="20"/>
          <w:szCs w:val="20"/>
          <w:color w:val="auto"/>
        </w:rPr>
      </w:pPr>
    </w:p>
    <w:p>
      <w:pPr>
        <w:ind w:left="624" w:hanging="624"/>
        <w:spacing w:after="0"/>
        <w:tabs>
          <w:tab w:leader="none" w:pos="624"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FURNISHING DISCLOSURE INFORMATION</w:t>
      </w:r>
    </w:p>
    <w:p>
      <w:pPr>
        <w:spacing w:after="0" w:line="210" w:lineRule="exact"/>
        <w:rPr>
          <w:sz w:val="20"/>
          <w:szCs w:val="20"/>
          <w:color w:val="auto"/>
        </w:rPr>
      </w:pPr>
    </w:p>
    <w:p>
      <w:pPr>
        <w:ind w:left="4" w:firstLine="648"/>
        <w:spacing w:after="0" w:line="236" w:lineRule="auto"/>
        <w:rPr>
          <w:sz w:val="20"/>
          <w:szCs w:val="20"/>
          <w:color w:val="auto"/>
        </w:rPr>
      </w:pPr>
      <w:r>
        <w:rPr>
          <w:rFonts w:ascii="Times New Roman" w:cs="Times New Roman" w:eastAsia="Times New Roman" w:hAnsi="Times New Roman"/>
          <w:sz w:val="22"/>
          <w:szCs w:val="22"/>
          <w:color w:val="auto"/>
        </w:rPr>
        <w:t>With respect to any disclosure information furnished in accordance with the Company’s Conflicts of Interest Policy, the Company will endeavor to properly protect such information.</w:t>
      </w:r>
    </w:p>
    <w:p>
      <w:pPr>
        <w:spacing w:after="0" w:line="200" w:lineRule="exact"/>
        <w:rPr>
          <w:sz w:val="20"/>
          <w:szCs w:val="20"/>
          <w:color w:val="auto"/>
        </w:rPr>
      </w:pPr>
    </w:p>
    <w:p>
      <w:pPr>
        <w:spacing w:after="0" w:line="25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84"/>
          </w:cols>
          <w:pgMar w:left="436" w:top="1440" w:right="479" w:bottom="1440" w:gutter="0" w:footer="0" w:header="0"/>
        </w:sectPr>
      </w:pPr>
    </w:p>
    <w:bookmarkStart w:id="240" w:name="page241"/>
    <w:bookmarkEnd w:id="240"/>
    <w:p>
      <w:pPr>
        <w:jc w:val="center"/>
        <w:ind w:right="4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u w:val="single" w:color="auto"/>
          <w:color w:val="auto"/>
        </w:rPr>
        <w:t>CAESARS ENTERTAINMENT, INC.</w:t>
      </w:r>
    </w:p>
    <w:p>
      <w:pPr>
        <w:spacing w:after="0" w:line="22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auto"/>
        </w:rPr>
        <w:t>CODE OF ETHICS AND BUSINESS CONDUCT CONFIRMATION STATEMENT</w:t>
      </w:r>
    </w:p>
    <w:p>
      <w:pPr>
        <w:spacing w:after="0" w:line="291"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6512560</wp:posOffset>
            </wp:positionH>
            <wp:positionV relativeFrom="paragraph">
              <wp:posOffset>-13970</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22"/>
          <w:szCs w:val="22"/>
          <w:color w:val="auto"/>
        </w:rPr>
        <w:t>I,</w:t>
        <w:tab/>
        <w:t>hereby confirm the following statements to Caesars Entertainment, Inc.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-13970</wp:posOffset>
            </wp:positionV>
            <wp:extent cx="137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6" w:lineRule="exact"/>
        <w:rPr>
          <w:sz w:val="20"/>
          <w:szCs w:val="20"/>
          <w:color w:val="auto"/>
        </w:rPr>
      </w:pPr>
    </w:p>
    <w:p>
      <w:pPr>
        <w:ind w:left="740" w:hanging="636"/>
        <w:spacing w:after="0"/>
        <w:tabs>
          <w:tab w:leader="none" w:pos="7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a director, officer, employee or consultant of the Company and/or one of its subsidiaries.</w:t>
      </w:r>
    </w:p>
    <w:p>
      <w:pPr>
        <w:spacing w:after="0" w:line="219" w:lineRule="exact"/>
        <w:rPr>
          <w:rFonts w:ascii="Times New Roman" w:cs="Times New Roman" w:eastAsia="Times New Roman" w:hAnsi="Times New Roman"/>
          <w:sz w:val="22"/>
          <w:szCs w:val="22"/>
          <w:color w:val="auto"/>
        </w:rPr>
      </w:pPr>
    </w:p>
    <w:p>
      <w:pPr>
        <w:ind w:left="760" w:right="1340" w:hanging="656"/>
        <w:spacing w:after="0" w:line="236" w:lineRule="auto"/>
        <w:tabs>
          <w:tab w:leader="none" w:pos="75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I understand the Company’s Code of Ethics and Business Conduct (the “Code”), including its Conflicts of Interest Policy.</w:t>
      </w:r>
    </w:p>
    <w:p>
      <w:pPr>
        <w:spacing w:after="0" w:line="190" w:lineRule="exact"/>
        <w:rPr>
          <w:rFonts w:ascii="Times New Roman" w:cs="Times New Roman" w:eastAsia="Times New Roman" w:hAnsi="Times New Roman"/>
          <w:sz w:val="22"/>
          <w:szCs w:val="22"/>
          <w:color w:val="auto"/>
        </w:rPr>
      </w:pPr>
    </w:p>
    <w:p>
      <w:pPr>
        <w:ind w:left="760" w:hanging="656"/>
        <w:spacing w:after="0" w:line="236" w:lineRule="auto"/>
        <w:tabs>
          <w:tab w:leader="none" w:pos="75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actual, potential or apparent conflict of interest between myself or any of my immediate family members and the Company (or any of its subsidiaries) as described in the Code,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258445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395605</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-151130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-13970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ind w:left="760" w:right="860" w:hanging="656"/>
        <w:spacing w:after="0" w:line="236" w:lineRule="auto"/>
        <w:tabs>
          <w:tab w:leader="none" w:pos="75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I am under an ongoing obligation to notify the Compliance Officer should any of the information in this confirmation statement change.</w:t>
      </w: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760" w:right="500" w:hanging="656"/>
        <w:spacing w:after="0" w:line="236" w:lineRule="auto"/>
        <w:tabs>
          <w:tab w:leader="none" w:pos="75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Code and all amendments to the Code are available for my review on the Company’s website and upon request from the Company’s Corporate Secretary.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420"/>
          </w:cols>
          <w:pgMar w:left="980" w:top="1391" w:right="4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color w:val="auto"/>
        </w:rPr>
        <w:t>Caesars Entertainment, Inc. Securities Trading Policy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42" w:hanging="1142"/>
        <w:spacing w:after="0"/>
        <w:tabs>
          <w:tab w:leader="none" w:pos="1142"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  2</w:t>
      </w:r>
    </w:p>
    <w:p>
      <w:pPr>
        <w:spacing w:after="0" w:line="237" w:lineRule="exact"/>
        <w:rPr>
          <w:sz w:val="20"/>
          <w:szCs w:val="20"/>
          <w:color w:val="auto"/>
        </w:rPr>
      </w:pPr>
    </w:p>
    <w:tbl>
      <w:tblPr>
        <w:tblLayout w:type="fixed"/>
        <w:tblInd w:w="2" w:type="dxa"/>
        <w:tblCellMar>
          <w:top w:w="0" w:type="dxa"/>
          <w:left w:w="0" w:type="dxa"/>
          <w:bottom w:w="0" w:type="dxa"/>
          <w:right w:w="0" w:type="dxa"/>
        </w:tblCellMar>
      </w:tblPr>
      <w:tr>
        <w:trPr>
          <w:trHeight w:val="282"/>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49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What is Insider Trading?  2</w:t>
            </w:r>
          </w:p>
        </w:tc>
        <w:tc>
          <w:tcPr>
            <w:tcW w:w="1700" w:type="dxa"/>
            <w:vAlign w:val="bottom"/>
          </w:tcPr>
          <w:p>
            <w:pPr>
              <w:spacing w:after="0"/>
              <w:rPr>
                <w:sz w:val="24"/>
                <w:szCs w:val="24"/>
                <w:color w:val="auto"/>
              </w:rPr>
            </w:pPr>
          </w:p>
        </w:tc>
      </w:tr>
      <w:tr>
        <w:trPr>
          <w:trHeight w:val="447"/>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What are the Consequences of Engaging in Illegal Insider Trading or</w:t>
            </w:r>
          </w:p>
        </w:tc>
      </w:tr>
      <w:tr>
        <w:trPr>
          <w:trHeight w:val="282"/>
        </w:trPr>
        <w:tc>
          <w:tcPr>
            <w:tcW w:w="1060" w:type="dxa"/>
            <w:vAlign w:val="bottom"/>
          </w:tcPr>
          <w:p>
            <w:pPr>
              <w:spacing w:after="0"/>
              <w:rPr>
                <w:sz w:val="24"/>
                <w:szCs w:val="24"/>
                <w:color w:val="auto"/>
              </w:rPr>
            </w:pPr>
          </w:p>
        </w:tc>
        <w:tc>
          <w:tcPr>
            <w:tcW w:w="4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Otherwise Violating this Policy?  2</w:t>
            </w:r>
          </w:p>
        </w:tc>
        <w:tc>
          <w:tcPr>
            <w:tcW w:w="1700" w:type="dxa"/>
            <w:vAlign w:val="bottom"/>
          </w:tcPr>
          <w:p>
            <w:pPr>
              <w:spacing w:after="0"/>
              <w:rPr>
                <w:sz w:val="24"/>
                <w:szCs w:val="24"/>
                <w:color w:val="auto"/>
              </w:rPr>
            </w:pPr>
          </w:p>
        </w:tc>
      </w:tr>
      <w:tr>
        <w:trPr>
          <w:trHeight w:val="473"/>
        </w:trPr>
        <w:tc>
          <w:tcPr>
            <w:tcW w:w="1060" w:type="dxa"/>
            <w:vAlign w:val="bottom"/>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w w:val="84"/>
              </w:rPr>
              <w:t>2.</w:t>
            </w:r>
          </w:p>
        </w:tc>
        <w:tc>
          <w:tcPr>
            <w:tcW w:w="49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Elements of the Policy  3</w:t>
            </w:r>
          </w:p>
        </w:tc>
        <w:tc>
          <w:tcPr>
            <w:tcW w:w="1700" w:type="dxa"/>
            <w:vAlign w:val="bottom"/>
          </w:tcPr>
          <w:p>
            <w:pPr>
              <w:spacing w:after="0"/>
              <w:rPr>
                <w:sz w:val="24"/>
                <w:szCs w:val="24"/>
                <w:color w:val="auto"/>
              </w:rPr>
            </w:pPr>
          </w:p>
        </w:tc>
      </w:tr>
      <w:tr>
        <w:trPr>
          <w:trHeight w:val="473"/>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49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Who is Subject to the Requirements of this Policy?</w:t>
            </w:r>
          </w:p>
        </w:tc>
        <w:tc>
          <w:tcPr>
            <w:tcW w:w="17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3</w:t>
            </w:r>
          </w:p>
        </w:tc>
      </w:tr>
      <w:tr>
        <w:trPr>
          <w:trHeight w:val="473"/>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668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Who are “Blackout Insiders” and “Pre-Clearance Insiders”?  3</w:t>
            </w:r>
          </w:p>
        </w:tc>
      </w:tr>
      <w:tr>
        <w:trPr>
          <w:trHeight w:val="486"/>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668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9"/>
              </w:rPr>
              <w:t>What Securities and Other Instruments are Covered by this Policy?  4</w:t>
            </w:r>
          </w:p>
        </w:tc>
      </w:tr>
      <w:tr>
        <w:trPr>
          <w:trHeight w:val="473"/>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49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What are the General Prohibitions of the Policy?</w:t>
            </w:r>
          </w:p>
        </w:tc>
        <w:tc>
          <w:tcPr>
            <w:tcW w:w="17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w w:val="72"/>
              </w:rPr>
              <w:t>4</w:t>
            </w:r>
          </w:p>
        </w:tc>
      </w:tr>
      <w:tr>
        <w:trPr>
          <w:trHeight w:val="473"/>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49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What is “Material Information”?  5</w:t>
            </w:r>
          </w:p>
        </w:tc>
        <w:tc>
          <w:tcPr>
            <w:tcW w:w="1700" w:type="dxa"/>
            <w:vAlign w:val="bottom"/>
          </w:tcPr>
          <w:p>
            <w:pPr>
              <w:spacing w:after="0"/>
              <w:rPr>
                <w:sz w:val="24"/>
                <w:szCs w:val="24"/>
                <w:color w:val="auto"/>
              </w:rPr>
            </w:pPr>
          </w:p>
        </w:tc>
      </w:tr>
      <w:tr>
        <w:trPr>
          <w:trHeight w:val="472"/>
        </w:trPr>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49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What is “Non-Public” Information?  5</w:t>
            </w:r>
          </w:p>
        </w:tc>
        <w:tc>
          <w:tcPr>
            <w:tcW w:w="1700" w:type="dxa"/>
            <w:vAlign w:val="bottom"/>
          </w:tcPr>
          <w:p>
            <w:pPr>
              <w:spacing w:after="0"/>
              <w:rPr>
                <w:sz w:val="24"/>
                <w:szCs w:val="24"/>
                <w:color w:val="auto"/>
              </w:rPr>
            </w:pPr>
          </w:p>
        </w:tc>
      </w:tr>
    </w:tbl>
    <w:p>
      <w:pPr>
        <w:spacing w:after="0" w:line="186" w:lineRule="exact"/>
        <w:rPr>
          <w:sz w:val="20"/>
          <w:szCs w:val="20"/>
          <w:color w:val="auto"/>
        </w:rPr>
      </w:pPr>
    </w:p>
    <w:p>
      <w:pPr>
        <w:ind w:left="642" w:hanging="642"/>
        <w:spacing w:after="0"/>
        <w:tabs>
          <w:tab w:leader="none" w:pos="642"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the Policy to Transactions in Convertible or Exchangeable</w:t>
      </w:r>
    </w:p>
    <w:p>
      <w:pPr>
        <w:spacing w:after="0" w:line="33" w:lineRule="exact"/>
        <w:rPr>
          <w:sz w:val="20"/>
          <w:szCs w:val="20"/>
          <w:color w:val="auto"/>
        </w:rPr>
      </w:pPr>
    </w:p>
    <w:p>
      <w:pPr>
        <w:ind w:left="642"/>
        <w:spacing w:after="0"/>
        <w:tabs>
          <w:tab w:leader="none" w:pos="6482" w:val="left"/>
        </w:tabs>
        <w:rPr>
          <w:sz w:val="20"/>
          <w:szCs w:val="20"/>
          <w:color w:val="auto"/>
        </w:rPr>
      </w:pPr>
      <w:r>
        <w:rPr>
          <w:rFonts w:ascii="Times New Roman" w:cs="Times New Roman" w:eastAsia="Times New Roman" w:hAnsi="Times New Roman"/>
          <w:sz w:val="22"/>
          <w:szCs w:val="22"/>
          <w:b w:val="1"/>
          <w:bCs w:val="1"/>
          <w:color w:val="auto"/>
        </w:rPr>
        <w:t>Securities or Shares Obtained Upon Conversion or Exchange</w:t>
      </w:r>
      <w:r>
        <w:rPr>
          <w:sz w:val="20"/>
          <w:szCs w:val="20"/>
          <w:color w:val="auto"/>
        </w:rPr>
        <w:tab/>
      </w:r>
      <w:r>
        <w:rPr>
          <w:rFonts w:ascii="Times New Roman" w:cs="Times New Roman" w:eastAsia="Times New Roman" w:hAnsi="Times New Roman"/>
          <w:sz w:val="19"/>
          <w:szCs w:val="19"/>
          <w:b w:val="1"/>
          <w:bCs w:val="1"/>
          <w:color w:val="auto"/>
        </w:rPr>
        <w:t>6</w:t>
      </w:r>
    </w:p>
    <w:p>
      <w:pPr>
        <w:spacing w:after="0" w:line="203" w:lineRule="exact"/>
        <w:rPr>
          <w:sz w:val="20"/>
          <w:szCs w:val="20"/>
          <w:color w:val="auto"/>
        </w:rPr>
      </w:pPr>
    </w:p>
    <w:p>
      <w:pPr>
        <w:ind w:left="1142" w:hanging="1142"/>
        <w:spacing w:after="0"/>
        <w:tabs>
          <w:tab w:leader="none" w:pos="1142"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  6</w:t>
      </w:r>
    </w:p>
    <w:p>
      <w:pPr>
        <w:spacing w:after="0" w:line="220" w:lineRule="exact"/>
        <w:rPr>
          <w:sz w:val="20"/>
          <w:szCs w:val="20"/>
          <w:color w:val="auto"/>
        </w:rPr>
      </w:pPr>
    </w:p>
    <w:p>
      <w:pPr>
        <w:ind w:left="2"/>
        <w:spacing w:after="0"/>
        <w:tabs>
          <w:tab w:leader="none" w:pos="1122" w:val="left"/>
          <w:tab w:leader="none" w:pos="5062"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2"/>
          <w:szCs w:val="22"/>
          <w:b w:val="1"/>
          <w:bCs w:val="1"/>
          <w:color w:val="auto"/>
        </w:rPr>
        <w:t>Compliance Contacts and Responsibility</w:t>
        <w:tab/>
        <w:t>6</w:t>
      </w:r>
    </w:p>
    <w:p>
      <w:pPr>
        <w:spacing w:after="0" w:line="220" w:lineRule="exact"/>
        <w:rPr>
          <w:sz w:val="20"/>
          <w:szCs w:val="20"/>
          <w:color w:val="auto"/>
        </w:rPr>
      </w:pPr>
    </w:p>
    <w:p>
      <w:pPr>
        <w:ind w:left="1142" w:hanging="1142"/>
        <w:spacing w:after="0"/>
        <w:tabs>
          <w:tab w:leader="none" w:pos="1142"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Certification  6</w:t>
      </w:r>
    </w:p>
    <w:p>
      <w:pPr>
        <w:spacing w:after="0" w:line="219" w:lineRule="exact"/>
        <w:rPr>
          <w:rFonts w:ascii="Times New Roman" w:cs="Times New Roman" w:eastAsia="Times New Roman" w:hAnsi="Times New Roman"/>
          <w:sz w:val="22"/>
          <w:szCs w:val="22"/>
          <w:b w:val="1"/>
          <w:bCs w:val="1"/>
          <w:color w:val="auto"/>
        </w:rPr>
      </w:pPr>
    </w:p>
    <w:p>
      <w:pPr>
        <w:ind w:left="1142" w:hanging="1142"/>
        <w:spacing w:after="0"/>
        <w:tabs>
          <w:tab w:leader="none" w:pos="1142"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  6</w:t>
      </w:r>
    </w:p>
    <w:p>
      <w:pPr>
        <w:sectPr>
          <w:pgSz w:w="11900" w:h="16838" w:orient="portrait"/>
          <w:cols w:equalWidth="0" w:num="1">
            <w:col w:w="11142"/>
          </w:cols>
          <w:pgMar w:left="418" w:top="114" w:right="339" w:bottom="1440" w:gutter="0" w:footer="0" w:header="0"/>
        </w:sectPr>
      </w:pPr>
    </w:p>
    <w:bookmarkStart w:id="242" w:name="page243"/>
    <w:bookmarkEnd w:id="242"/>
    <w:p>
      <w:pPr>
        <w:spacing w:after="0" w:line="7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CAESARS ENTERTAINMENT, INC. SECURITIES TRADING POLICY</w:t>
      </w:r>
    </w:p>
    <w:p>
      <w:pPr>
        <w:spacing w:after="0" w:line="116" w:lineRule="exact"/>
        <w:rPr>
          <w:sz w:val="20"/>
          <w:szCs w:val="20"/>
          <w:color w:val="auto"/>
        </w:rPr>
      </w:pPr>
    </w:p>
    <w:p>
      <w:pPr>
        <w:jc w:val="both"/>
        <w:ind w:left="2" w:firstLine="647"/>
        <w:spacing w:after="0" w:line="250" w:lineRule="auto"/>
        <w:rPr>
          <w:sz w:val="20"/>
          <w:szCs w:val="20"/>
          <w:color w:val="auto"/>
        </w:rPr>
      </w:pPr>
      <w:r>
        <w:rPr>
          <w:rFonts w:ascii="Times New Roman" w:cs="Times New Roman" w:eastAsia="Times New Roman" w:hAnsi="Times New Roman"/>
          <w:sz w:val="22"/>
          <w:szCs w:val="22"/>
          <w:color w:val="auto"/>
        </w:rPr>
        <w:t>This Securities Trading Policy (this “Policy”) is applicable to each director, officer, employee and consultant (“you”) of Caesars Entertainment, Inc. and its subsidiaries (collectively, the “Company”). In the course of performing your duties for the Company, you may, at times, have information about the Company or another company that is not generally available to the public. Because of your relationship with the Company, if you are aware of “material,” “non- public” information about the Company, federal and state securities laws prohibit you from trading in the securities of the Company and other controlled businesses (together with the Company, the “Caesars Companies” and any individual entity an “Caesars Company”) or providing such information to others who may trade on the basis of that information.</w:t>
      </w:r>
    </w:p>
    <w:p>
      <w:pPr>
        <w:spacing w:after="0" w:line="190" w:lineRule="exact"/>
        <w:rPr>
          <w:sz w:val="20"/>
          <w:szCs w:val="20"/>
          <w:color w:val="auto"/>
        </w:rPr>
      </w:pPr>
    </w:p>
    <w:p>
      <w:pPr>
        <w:ind w:left="642" w:hanging="642"/>
        <w:spacing w:after="0"/>
        <w:tabs>
          <w:tab w:leader="none" w:pos="642"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We have adopted this Policy to:</w:t>
      </w:r>
    </w:p>
    <w:p>
      <w:pPr>
        <w:spacing w:after="0" w:line="112" w:lineRule="exact"/>
        <w:rPr>
          <w:sz w:val="20"/>
          <w:szCs w:val="20"/>
          <w:color w:val="auto"/>
        </w:rPr>
      </w:pPr>
    </w:p>
    <w:p>
      <w:pPr>
        <w:ind w:left="1302" w:right="300" w:hanging="654"/>
        <w:spacing w:after="0" w:line="271" w:lineRule="auto"/>
        <w:tabs>
          <w:tab w:leader="none" w:pos="129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some of your obligations to the Company and under the law, including the proper conduct for trading in securities of the Caesars Companies;</w:t>
      </w:r>
    </w:p>
    <w:p>
      <w:pPr>
        <w:spacing w:after="0" w:line="49" w:lineRule="exact"/>
        <w:rPr>
          <w:rFonts w:ascii="Times New Roman" w:cs="Times New Roman" w:eastAsia="Times New Roman" w:hAnsi="Times New Roman"/>
          <w:sz w:val="22"/>
          <w:szCs w:val="22"/>
          <w:color w:val="auto"/>
        </w:rPr>
      </w:pPr>
    </w:p>
    <w:p>
      <w:pPr>
        <w:ind w:left="1302" w:right="500" w:hanging="654"/>
        <w:spacing w:after="0" w:line="271" w:lineRule="auto"/>
        <w:tabs>
          <w:tab w:leader="none" w:pos="129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Promote compliance with the laws prohibiting “insider trading” and help our directors, officers, employees and consultants avoid the severe consequences resulting from violations of these laws;</w:t>
      </w:r>
    </w:p>
    <w:p>
      <w:pPr>
        <w:spacing w:after="0" w:line="63" w:lineRule="exact"/>
        <w:rPr>
          <w:rFonts w:ascii="Times New Roman" w:cs="Times New Roman" w:eastAsia="Times New Roman" w:hAnsi="Times New Roman"/>
          <w:sz w:val="22"/>
          <w:szCs w:val="22"/>
          <w:color w:val="auto"/>
        </w:rPr>
      </w:pPr>
    </w:p>
    <w:p>
      <w:pPr>
        <w:ind w:left="1282" w:hanging="634"/>
        <w:spacing w:after="0"/>
        <w:tabs>
          <w:tab w:leader="none" w:pos="128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even the appearance of “insider trading;” and</w:t>
      </w:r>
    </w:p>
    <w:p>
      <w:pPr>
        <w:spacing w:after="0" w:line="111" w:lineRule="exact"/>
        <w:rPr>
          <w:rFonts w:ascii="Times New Roman" w:cs="Times New Roman" w:eastAsia="Times New Roman" w:hAnsi="Times New Roman"/>
          <w:sz w:val="22"/>
          <w:szCs w:val="22"/>
          <w:color w:val="auto"/>
        </w:rPr>
      </w:pPr>
    </w:p>
    <w:p>
      <w:pPr>
        <w:ind w:left="1282" w:hanging="634"/>
        <w:spacing w:after="0"/>
        <w:tabs>
          <w:tab w:leader="none" w:pos="128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our reputation for integrity and ethical conduct.</w:t>
      </w:r>
    </w:p>
    <w:p>
      <w:pPr>
        <w:spacing w:after="0" w:line="214"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22"/>
          <w:szCs w:val="22"/>
          <w:b w:val="1"/>
          <w:bCs w:val="1"/>
          <w:i w:val="1"/>
          <w:iCs w:val="1"/>
          <w:color w:val="auto"/>
        </w:rPr>
        <w:t>1.1.</w:t>
      </w:r>
      <w:r>
        <w:rPr>
          <w:sz w:val="20"/>
          <w:szCs w:val="20"/>
          <w:color w:val="auto"/>
        </w:rPr>
        <w:tab/>
      </w:r>
      <w:r>
        <w:rPr>
          <w:rFonts w:ascii="Times New Roman" w:cs="Times New Roman" w:eastAsia="Times New Roman" w:hAnsi="Times New Roman"/>
          <w:sz w:val="21"/>
          <w:szCs w:val="21"/>
          <w:b w:val="1"/>
          <w:bCs w:val="1"/>
          <w:i w:val="1"/>
          <w:iCs w:val="1"/>
          <w:color w:val="auto"/>
        </w:rPr>
        <w:t>What is Insider Trading?</w:t>
      </w:r>
    </w:p>
    <w:p>
      <w:pPr>
        <w:spacing w:after="0" w:line="64"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21"/>
          <w:szCs w:val="21"/>
          <w:color w:val="auto"/>
        </w:rPr>
        <w:t>The federal securities laws prohibit persons who become aware of “material,” “non-public” information about a company from buying or selling that company’s securities on the basis of that information. This form of misconduct is commonly known as “insider trading.” Insider trading also refers to the unauthorized disclosure of material, non-public information to others who then trade on the basis of that information, conduct commonly known as “tipping.” In this Policy, when we use the term insider trading, we include tipping. The terms “material” and “non-public” are discussed in Sections 2.5 and 2.6 below.</w:t>
      </w:r>
    </w:p>
    <w:p>
      <w:pPr>
        <w:spacing w:after="0" w:line="158" w:lineRule="exact"/>
        <w:rPr>
          <w:sz w:val="20"/>
          <w:szCs w:val="20"/>
          <w:color w:val="auto"/>
        </w:rPr>
      </w:pPr>
    </w:p>
    <w:p>
      <w:pPr>
        <w:ind w:left="2"/>
        <w:spacing w:after="0"/>
        <w:tabs>
          <w:tab w:leader="none" w:pos="542" w:val="left"/>
        </w:tabs>
        <w:rPr>
          <w:sz w:val="20"/>
          <w:szCs w:val="20"/>
          <w:color w:val="auto"/>
        </w:rPr>
      </w:pPr>
      <w:r>
        <w:rPr>
          <w:rFonts w:ascii="Times New Roman" w:cs="Times New Roman" w:eastAsia="Times New Roman" w:hAnsi="Times New Roman"/>
          <w:sz w:val="22"/>
          <w:szCs w:val="22"/>
          <w:b w:val="1"/>
          <w:bCs w:val="1"/>
          <w:i w:val="1"/>
          <w:iCs w:val="1"/>
          <w:color w:val="auto"/>
        </w:rPr>
        <w:t>1.2.</w:t>
      </w:r>
      <w:r>
        <w:rPr>
          <w:sz w:val="20"/>
          <w:szCs w:val="20"/>
          <w:color w:val="auto"/>
        </w:rPr>
        <w:tab/>
      </w:r>
      <w:r>
        <w:rPr>
          <w:rFonts w:ascii="Times New Roman" w:cs="Times New Roman" w:eastAsia="Times New Roman" w:hAnsi="Times New Roman"/>
          <w:sz w:val="21"/>
          <w:szCs w:val="21"/>
          <w:b w:val="1"/>
          <w:bCs w:val="1"/>
          <w:i w:val="1"/>
          <w:iCs w:val="1"/>
          <w:color w:val="auto"/>
        </w:rPr>
        <w:t>What are the Consequences of Engaging in Illegal Insider Trading or Otherwise Violating this Policy?</w:t>
      </w:r>
    </w:p>
    <w:p>
      <w:pPr>
        <w:spacing w:after="0" w:line="64"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22"/>
          <w:szCs w:val="22"/>
          <w:color w:val="auto"/>
        </w:rPr>
        <w:t>Sanctions for violations of the prohibitions on insider trading can be severe, including civil fines of up to three times the profit gained or loss avoided, criminal fines of up to $5,000,000 and jail terms of up to 25 years. The federal securities laws also may impose insider trading liability on companies (and their directors, officers and supervisory personnel) if they fail to take reasonable steps to prevent insider trading.</w:t>
      </w:r>
    </w:p>
    <w:p>
      <w:pPr>
        <w:spacing w:after="0" w:line="6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22"/>
          <w:szCs w:val="22"/>
          <w:color w:val="auto"/>
        </w:rPr>
        <w:t>Any failure to comply with this Policy may subject a director, officer or employee to Company- imposed sanctions, including termination for cause, whether or not the failure to comply constitutes or results in a violation of law.</w:t>
      </w:r>
    </w:p>
    <w:p>
      <w:pPr>
        <w:sectPr>
          <w:pgSz w:w="11900" w:h="16838" w:orient="portrait"/>
          <w:cols w:equalWidth="0" w:num="1">
            <w:col w:w="11042"/>
          </w:cols>
          <w:pgMar w:left="418" w:top="1440" w:right="439" w:bottom="1440" w:gutter="0" w:footer="0" w:header="0"/>
        </w:sectPr>
      </w:pPr>
    </w:p>
    <w:bookmarkStart w:id="243" w:name="page244"/>
    <w:bookmarkEnd w:id="243"/>
    <w:p>
      <w:pPr>
        <w:spacing w:after="0" w:line="221" w:lineRule="exact"/>
        <w:rPr>
          <w:sz w:val="20"/>
          <w:szCs w:val="20"/>
          <w:color w:val="auto"/>
        </w:rPr>
      </w:pPr>
    </w:p>
    <w:p>
      <w:pPr>
        <w:ind w:left="642" w:hanging="642"/>
        <w:spacing w:after="0"/>
        <w:tabs>
          <w:tab w:leader="none" w:pos="642"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Elements of the Policy</w:t>
      </w:r>
    </w:p>
    <w:p>
      <w:pPr>
        <w:spacing w:after="0" w:line="218"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22"/>
          <w:szCs w:val="22"/>
          <w:b w:val="1"/>
          <w:bCs w:val="1"/>
          <w:i w:val="1"/>
          <w:iCs w:val="1"/>
          <w:color w:val="auto"/>
        </w:rPr>
        <w:t>2.1.</w:t>
      </w:r>
      <w:r>
        <w:rPr>
          <w:sz w:val="20"/>
          <w:szCs w:val="20"/>
          <w:color w:val="auto"/>
        </w:rPr>
        <w:tab/>
      </w:r>
      <w:r>
        <w:rPr>
          <w:rFonts w:ascii="Times New Roman" w:cs="Times New Roman" w:eastAsia="Times New Roman" w:hAnsi="Times New Roman"/>
          <w:sz w:val="21"/>
          <w:szCs w:val="21"/>
          <w:b w:val="1"/>
          <w:bCs w:val="1"/>
          <w:i w:val="1"/>
          <w:iCs w:val="1"/>
          <w:color w:val="auto"/>
        </w:rPr>
        <w:t>Who is Subject to the Requirements of this Policy?</w:t>
      </w:r>
    </w:p>
    <w:p>
      <w:pPr>
        <w:spacing w:after="0" w:line="64" w:lineRule="exact"/>
        <w:rPr>
          <w:sz w:val="20"/>
          <w:szCs w:val="20"/>
          <w:color w:val="auto"/>
        </w:rPr>
      </w:pPr>
    </w:p>
    <w:p>
      <w:pPr>
        <w:ind w:left="2" w:right="220"/>
        <w:spacing w:after="0" w:line="271" w:lineRule="auto"/>
        <w:rPr>
          <w:sz w:val="20"/>
          <w:szCs w:val="20"/>
          <w:color w:val="auto"/>
        </w:rPr>
      </w:pPr>
      <w:r>
        <w:rPr>
          <w:rFonts w:ascii="Times New Roman" w:cs="Times New Roman" w:eastAsia="Times New Roman" w:hAnsi="Times New Roman"/>
          <w:sz w:val="22"/>
          <w:szCs w:val="22"/>
          <w:color w:val="auto"/>
        </w:rPr>
        <w:t>This Policy applies to each director, officer and employee of the Caesars Companies (collectively, “Covered Persons”) and to the “Related Persons” of each such person.</w:t>
      </w:r>
    </w:p>
    <w:p>
      <w:pPr>
        <w:spacing w:after="0" w:line="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“Related Persons” are:</w:t>
      </w:r>
    </w:p>
    <w:p>
      <w:pPr>
        <w:spacing w:after="0" w:line="112" w:lineRule="exact"/>
        <w:rPr>
          <w:sz w:val="20"/>
          <w:szCs w:val="20"/>
          <w:color w:val="auto"/>
        </w:rPr>
      </w:pPr>
    </w:p>
    <w:p>
      <w:pPr>
        <w:ind w:left="642" w:hanging="318"/>
        <w:spacing w:after="0"/>
        <w:tabs>
          <w:tab w:leader="none" w:pos="64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family members who reside with Covered Persons;</w:t>
      </w:r>
    </w:p>
    <w:p>
      <w:pPr>
        <w:spacing w:after="0" w:line="29" w:lineRule="exact"/>
        <w:rPr>
          <w:rFonts w:ascii="Times New Roman" w:cs="Times New Roman" w:eastAsia="Times New Roman" w:hAnsi="Times New Roman"/>
          <w:sz w:val="22"/>
          <w:szCs w:val="22"/>
          <w:color w:val="auto"/>
        </w:rPr>
      </w:pPr>
    </w:p>
    <w:p>
      <w:pPr>
        <w:ind w:left="642" w:hanging="318"/>
        <w:spacing w:after="0"/>
        <w:tabs>
          <w:tab w:leader="none" w:pos="64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else who lives in the household of a Covered Person and is subject to such person’s influence or control;</w:t>
      </w:r>
    </w:p>
    <w:p>
      <w:pPr>
        <w:spacing w:after="0" w:line="15" w:lineRule="exact"/>
        <w:rPr>
          <w:rFonts w:ascii="Times New Roman" w:cs="Times New Roman" w:eastAsia="Times New Roman" w:hAnsi="Times New Roman"/>
          <w:sz w:val="22"/>
          <w:szCs w:val="22"/>
          <w:color w:val="auto"/>
        </w:rPr>
      </w:pPr>
    </w:p>
    <w:p>
      <w:pPr>
        <w:ind w:left="642" w:right="700" w:hanging="318"/>
        <w:spacing w:after="0" w:line="246" w:lineRule="auto"/>
        <w:tabs>
          <w:tab w:leader="none" w:pos="63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family members who do not live in the household of a Covered Person but whose transactions in “Company Securities” (as defined in Section 2.3 below) are directed by a Covered Person or are subject to such a person’s influence or control (such as parents or children who consult with such a person before they trade in Company Securities); and</w:t>
      </w:r>
    </w:p>
    <w:p>
      <w:pPr>
        <w:spacing w:after="0" w:line="2" w:lineRule="exact"/>
        <w:rPr>
          <w:rFonts w:ascii="Times New Roman" w:cs="Times New Roman" w:eastAsia="Times New Roman" w:hAnsi="Times New Roman"/>
          <w:sz w:val="22"/>
          <w:szCs w:val="22"/>
          <w:color w:val="auto"/>
        </w:rPr>
      </w:pPr>
    </w:p>
    <w:p>
      <w:pPr>
        <w:ind w:left="642" w:hanging="318"/>
        <w:spacing w:after="0"/>
        <w:tabs>
          <w:tab w:leader="none" w:pos="64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trust, partnership, corporation or other entity over which a Covered Person has investment control.</w:t>
      </w:r>
    </w:p>
    <w:p>
      <w:pPr>
        <w:spacing w:after="0" w:line="8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22"/>
          <w:szCs w:val="22"/>
          <w:color w:val="auto"/>
        </w:rPr>
        <w:t>Because insider trading transactions involving Company Securities can be imputed to you, and potentially to the Company, you are responsible for making sure that transactions in any security covered by this Policy, whether by you personally or by any member of your family or other Related Person, comply with this Policy. In this Policy, when we refer to “Covered Persons” or to “you,” we include the applicable Related Persons.</w:t>
      </w:r>
    </w:p>
    <w:p>
      <w:pPr>
        <w:spacing w:after="0" w:line="68"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22"/>
          <w:szCs w:val="22"/>
          <w:color w:val="auto"/>
        </w:rPr>
        <w:t>Which specific provisions of this Policy apply to you and your Related Persons will depend upon your position with the Company. All persons covered by this Policy must comply with the general prohibition on insider trading discussed in Section 2.4 below. Additional trading window limitations and pre-clearance and notification requirements – which are set forth in supplements to this Policy (the “Policy Supplements”) – apply only to “Blackout Insiders” and “Pre-Clearance Insiders” of the Caesars Companies. All Blackout Insiders and Pre-Clearance Insiders will receive a copy of the applicable Policy Supplements.</w:t>
      </w:r>
    </w:p>
    <w:p>
      <w:pPr>
        <w:spacing w:after="0" w:line="175"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22"/>
          <w:szCs w:val="22"/>
          <w:b w:val="1"/>
          <w:bCs w:val="1"/>
          <w:i w:val="1"/>
          <w:iCs w:val="1"/>
          <w:color w:val="auto"/>
        </w:rPr>
        <w:t>2.2.</w:t>
      </w:r>
      <w:r>
        <w:rPr>
          <w:sz w:val="20"/>
          <w:szCs w:val="20"/>
          <w:color w:val="auto"/>
        </w:rPr>
        <w:tab/>
      </w:r>
      <w:r>
        <w:rPr>
          <w:rFonts w:ascii="Times New Roman" w:cs="Times New Roman" w:eastAsia="Times New Roman" w:hAnsi="Times New Roman"/>
          <w:sz w:val="21"/>
          <w:szCs w:val="21"/>
          <w:b w:val="1"/>
          <w:bCs w:val="1"/>
          <w:i w:val="1"/>
          <w:iCs w:val="1"/>
          <w:color w:val="auto"/>
        </w:rPr>
        <w:t>Who are “Blackout Insiders” and “Pre-Clearance Insiders”?</w:t>
      </w:r>
    </w:p>
    <w:p>
      <w:pPr>
        <w:spacing w:after="0" w:line="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“Blackout Insiders” are:</w:t>
      </w:r>
    </w:p>
    <w:p>
      <w:pPr>
        <w:spacing w:after="0" w:line="112" w:lineRule="exact"/>
        <w:rPr>
          <w:sz w:val="20"/>
          <w:szCs w:val="20"/>
          <w:color w:val="auto"/>
        </w:rPr>
      </w:pPr>
    </w:p>
    <w:p>
      <w:pPr>
        <w:ind w:left="642" w:right="20" w:hanging="318"/>
        <w:spacing w:after="0" w:line="255" w:lineRule="auto"/>
        <w:tabs>
          <w:tab w:leader="none" w:pos="63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who is a director or officer who is subject to the reporting and liability provisions of Section 16 of the Securities Exchange Act of 1934, as amended, and the rules and regulations promulgated thereunder;</w:t>
      </w:r>
    </w:p>
    <w:p>
      <w:pPr>
        <w:spacing w:after="0" w:line="1" w:lineRule="exact"/>
        <w:rPr>
          <w:rFonts w:ascii="Times New Roman" w:cs="Times New Roman" w:eastAsia="Times New Roman" w:hAnsi="Times New Roman"/>
          <w:sz w:val="22"/>
          <w:szCs w:val="22"/>
          <w:color w:val="auto"/>
        </w:rPr>
      </w:pPr>
    </w:p>
    <w:p>
      <w:pPr>
        <w:jc w:val="both"/>
        <w:ind w:left="642" w:hanging="318"/>
        <w:spacing w:after="0" w:line="246" w:lineRule="auto"/>
        <w:tabs>
          <w:tab w:leader="none" w:pos="63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employee who may be designated as such from time to time by the Company’s General Counsel because such person, in the normal course of his or her duties or with respect to a particular matter, has, or is likely to have, regular or special access to inside information that warrants such person only being permitted to trade during defined trading windows;</w:t>
      </w:r>
    </w:p>
    <w:p>
      <w:pPr>
        <w:jc w:val="both"/>
        <w:ind w:left="642" w:hanging="318"/>
        <w:spacing w:after="0" w:line="252" w:lineRule="auto"/>
        <w:tabs>
          <w:tab w:leader="none" w:pos="67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or person that designated or nominated, or caused to be designated or nominated, a director who is a Blackout Insider, whether such designation or nomination was undertaken or caused to be undertaken pursuant to a contractual agreement or contractual right or otherwise, provided that the director who is a Blackout Insider is also</w:t>
      </w:r>
    </w:p>
    <w:p>
      <w:pPr>
        <w:sectPr>
          <w:pgSz w:w="11900" w:h="16838" w:orient="portrait"/>
          <w:cols w:equalWidth="0" w:num="1">
            <w:col w:w="11042"/>
          </w:cols>
          <w:pgMar w:left="418" w:top="1440" w:right="439" w:bottom="1440" w:gutter="0" w:footer="0" w:header="0"/>
        </w:sectPr>
      </w:pPr>
    </w:p>
    <w:bookmarkStart w:id="244" w:name="page245"/>
    <w:bookmarkEnd w:id="244"/>
    <w:p>
      <w:pPr>
        <w:ind w:left="642"/>
        <w:spacing w:after="0" w:line="271" w:lineRule="auto"/>
        <w:rPr>
          <w:sz w:val="20"/>
          <w:szCs w:val="20"/>
          <w:color w:val="auto"/>
        </w:rPr>
      </w:pPr>
      <w:r>
        <w:rPr>
          <w:rFonts w:ascii="Times New Roman" w:cs="Times New Roman" w:eastAsia="Times New Roman" w:hAnsi="Times New Roman"/>
          <w:sz w:val="22"/>
          <w:szCs w:val="22"/>
          <w:color w:val="auto"/>
        </w:rPr>
        <w:t>an officer or employee of, or performs responsibilities of a similar nature for, the nominating entity or person or an affiliate thereof; and</w:t>
      </w:r>
    </w:p>
    <w:p>
      <w:pPr>
        <w:spacing w:after="0" w:line="23" w:lineRule="exact"/>
        <w:rPr>
          <w:sz w:val="20"/>
          <w:szCs w:val="20"/>
          <w:color w:val="auto"/>
        </w:rPr>
      </w:pPr>
    </w:p>
    <w:p>
      <w:pPr>
        <w:ind w:left="642" w:hanging="318"/>
        <w:spacing w:after="0"/>
        <w:tabs>
          <w:tab w:leader="none" w:pos="64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the person’s Related Persons.</w:t>
      </w:r>
    </w:p>
    <w:p>
      <w:pPr>
        <w:spacing w:after="0" w:line="112"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22"/>
          <w:szCs w:val="22"/>
          <w:color w:val="auto"/>
        </w:rPr>
        <w:t>“Pre-Clearance Insiders” are a subset of Blackout Insiders consisting of directors and certain officers and key employees as determined by the Company, and their Related Persons. All Blackout Insiders and Pre-Clearance Insiders are subject to additional limitations on transferability of Company Securities, which are set forth in the Policy Supplements.</w:t>
      </w:r>
    </w:p>
    <w:p>
      <w:pPr>
        <w:spacing w:after="0" w:line="180"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22"/>
          <w:szCs w:val="22"/>
          <w:b w:val="1"/>
          <w:bCs w:val="1"/>
          <w:i w:val="1"/>
          <w:iCs w:val="1"/>
          <w:color w:val="auto"/>
        </w:rPr>
        <w:t>2.3.</w:t>
      </w:r>
      <w:r>
        <w:rPr>
          <w:sz w:val="20"/>
          <w:szCs w:val="20"/>
          <w:color w:val="auto"/>
        </w:rPr>
        <w:tab/>
      </w:r>
      <w:r>
        <w:rPr>
          <w:rFonts w:ascii="Times New Roman" w:cs="Times New Roman" w:eastAsia="Times New Roman" w:hAnsi="Times New Roman"/>
          <w:sz w:val="21"/>
          <w:szCs w:val="21"/>
          <w:b w:val="1"/>
          <w:bCs w:val="1"/>
          <w:i w:val="1"/>
          <w:iCs w:val="1"/>
          <w:color w:val="auto"/>
        </w:rPr>
        <w:t>What Securities and Other Instruments are Covered by this Policy?</w:t>
      </w:r>
    </w:p>
    <w:p>
      <w:pPr>
        <w:spacing w:after="0" w:line="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This Policy covers and defines as “Company Securities”:</w:t>
      </w:r>
    </w:p>
    <w:p>
      <w:pPr>
        <w:spacing w:after="0" w:line="112" w:lineRule="exact"/>
        <w:rPr>
          <w:sz w:val="20"/>
          <w:szCs w:val="20"/>
          <w:color w:val="auto"/>
        </w:rPr>
      </w:pPr>
    </w:p>
    <w:p>
      <w:pPr>
        <w:ind w:left="642" w:right="20" w:hanging="318"/>
        <w:spacing w:after="0" w:line="254" w:lineRule="auto"/>
        <w:tabs>
          <w:tab w:leader="none" w:pos="63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 bond (including convertible notes), debentures, options, warrants or other marketable equity or debt security issued by any Caesars Company; and</w:t>
      </w:r>
    </w:p>
    <w:p>
      <w:pPr>
        <w:spacing w:after="0" w:line="1" w:lineRule="exact"/>
        <w:rPr>
          <w:rFonts w:ascii="Times New Roman" w:cs="Times New Roman" w:eastAsia="Times New Roman" w:hAnsi="Times New Roman"/>
          <w:sz w:val="22"/>
          <w:szCs w:val="22"/>
          <w:color w:val="auto"/>
        </w:rPr>
      </w:pPr>
    </w:p>
    <w:p>
      <w:pPr>
        <w:ind w:left="642" w:right="20" w:hanging="318"/>
        <w:spacing w:after="0" w:line="248" w:lineRule="auto"/>
        <w:tabs>
          <w:tab w:leader="none" w:pos="63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or other instrument issued by an unrelated third party and based on any equity or debt security (including exchange-traded options and credit default swaps) of any Caesars Company.</w:t>
      </w:r>
    </w:p>
    <w:p>
      <w:pPr>
        <w:spacing w:after="0" w:line="190"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22"/>
          <w:szCs w:val="22"/>
          <w:b w:val="1"/>
          <w:bCs w:val="1"/>
          <w:i w:val="1"/>
          <w:iCs w:val="1"/>
          <w:color w:val="auto"/>
        </w:rPr>
        <w:t>2.4.</w:t>
      </w:r>
      <w:r>
        <w:rPr>
          <w:sz w:val="20"/>
          <w:szCs w:val="20"/>
          <w:color w:val="auto"/>
        </w:rPr>
        <w:tab/>
      </w:r>
      <w:r>
        <w:rPr>
          <w:rFonts w:ascii="Times New Roman" w:cs="Times New Roman" w:eastAsia="Times New Roman" w:hAnsi="Times New Roman"/>
          <w:sz w:val="21"/>
          <w:szCs w:val="21"/>
          <w:b w:val="1"/>
          <w:bCs w:val="1"/>
          <w:i w:val="1"/>
          <w:iCs w:val="1"/>
          <w:color w:val="auto"/>
        </w:rPr>
        <w:t>What are the General Prohibitions of the Policy?</w:t>
      </w:r>
    </w:p>
    <w:p>
      <w:pPr>
        <w:spacing w:after="0" w:line="64" w:lineRule="exact"/>
        <w:rPr>
          <w:sz w:val="20"/>
          <w:szCs w:val="20"/>
          <w:color w:val="auto"/>
        </w:rPr>
      </w:pPr>
    </w:p>
    <w:p>
      <w:pPr>
        <w:ind w:left="2" w:right="20" w:hanging="2"/>
        <w:spacing w:after="0" w:line="271" w:lineRule="auto"/>
        <w:tabs>
          <w:tab w:leader="none" w:pos="55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Covered Person who is aware of material, non-public information relating to the Caesars Companies may, at any time, directly or through any other person or entity, including, but not limited, to any Related Person, friend or acquaintance:</w:t>
      </w:r>
    </w:p>
    <w:p>
      <w:pPr>
        <w:spacing w:after="0" w:line="49" w:lineRule="exact"/>
        <w:rPr>
          <w:rFonts w:ascii="Times New Roman" w:cs="Times New Roman" w:eastAsia="Times New Roman" w:hAnsi="Times New Roman"/>
          <w:sz w:val="22"/>
          <w:szCs w:val="22"/>
          <w:color w:val="auto"/>
        </w:rPr>
      </w:pPr>
    </w:p>
    <w:p>
      <w:pPr>
        <w:ind w:left="642" w:right="140" w:hanging="318"/>
        <w:spacing w:after="0" w:line="255" w:lineRule="auto"/>
        <w:tabs>
          <w:tab w:leader="none" w:pos="637"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 sell, pledge or otherwise transfer Company Securities, or engage in any other action to take personal advantage of that information; or</w:t>
      </w:r>
    </w:p>
    <w:p>
      <w:pPr>
        <w:spacing w:after="0" w:line="1" w:lineRule="exact"/>
        <w:rPr>
          <w:rFonts w:ascii="Times New Roman" w:cs="Times New Roman" w:eastAsia="Times New Roman" w:hAnsi="Times New Roman"/>
          <w:sz w:val="22"/>
          <w:szCs w:val="22"/>
          <w:color w:val="auto"/>
        </w:rPr>
      </w:pPr>
    </w:p>
    <w:p>
      <w:pPr>
        <w:ind w:left="642" w:right="980" w:hanging="318"/>
        <w:spacing w:after="0" w:line="259" w:lineRule="auto"/>
        <w:tabs>
          <w:tab w:leader="none" w:pos="637"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 that information on to any other person or entity outside the Company, including, but not limited to, any Related Person, friend or acquaintance.</w:t>
      </w:r>
    </w:p>
    <w:p>
      <w:pPr>
        <w:spacing w:after="0" w:line="62" w:lineRule="exact"/>
        <w:rPr>
          <w:rFonts w:ascii="Times New Roman" w:cs="Times New Roman" w:eastAsia="Times New Roman" w:hAnsi="Times New Roman"/>
          <w:sz w:val="22"/>
          <w:szCs w:val="22"/>
          <w:color w:val="auto"/>
        </w:rPr>
      </w:pPr>
    </w:p>
    <w:p>
      <w:pPr>
        <w:jc w:val="both"/>
        <w:ind w:left="2" w:hanging="2"/>
        <w:spacing w:after="0" w:line="275" w:lineRule="auto"/>
        <w:tabs>
          <w:tab w:leader="none" w:pos="55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no Covered Person who, in the course of working for any Caesars Company, learns of material non-public information about any company with which any Caesars Company does or is considering doing business, including a customer or supplier, may, at any time, trade in that company’s securities until the information becomes public or is no longer material.</w:t>
      </w:r>
    </w:p>
    <w:p>
      <w:pPr>
        <w:spacing w:after="0" w:line="47" w:lineRule="exact"/>
        <w:rPr>
          <w:rFonts w:ascii="Times New Roman" w:cs="Times New Roman" w:eastAsia="Times New Roman" w:hAnsi="Times New Roman"/>
          <w:sz w:val="21"/>
          <w:szCs w:val="21"/>
          <w:color w:val="auto"/>
        </w:rPr>
      </w:pPr>
    </w:p>
    <w:p>
      <w:pPr>
        <w:jc w:val="both"/>
        <w:ind w:left="2" w:hanging="2"/>
        <w:spacing w:after="0" w:line="263" w:lineRule="auto"/>
        <w:tabs>
          <w:tab w:leader="none" w:pos="55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Similarly, no Covered Person may communicate such material, non-public information about that other company to any other person or entity outside the Caesars Companies, including, but not limited to, any Related Person, friend or acquaintance. These prohibitions apply equally to communications made through social media.</w:t>
      </w:r>
    </w:p>
    <w:p>
      <w:pPr>
        <w:spacing w:after="0" w:line="59" w:lineRule="exact"/>
        <w:rPr>
          <w:rFonts w:ascii="Times New Roman" w:cs="Times New Roman" w:eastAsia="Times New Roman" w:hAnsi="Times New Roman"/>
          <w:sz w:val="22"/>
          <w:szCs w:val="22"/>
          <w:color w:val="auto"/>
        </w:rPr>
      </w:pPr>
    </w:p>
    <w:p>
      <w:pPr>
        <w:ind w:left="542" w:hanging="542"/>
        <w:spacing w:after="0"/>
        <w:tabs>
          <w:tab w:leader="none" w:pos="54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no Covered Person may engage in the following transactions involving Company Securities:</w:t>
      </w:r>
    </w:p>
    <w:p>
      <w:pPr>
        <w:spacing w:after="0" w:line="111" w:lineRule="exact"/>
        <w:rPr>
          <w:rFonts w:ascii="Times New Roman" w:cs="Times New Roman" w:eastAsia="Times New Roman" w:hAnsi="Times New Roman"/>
          <w:sz w:val="22"/>
          <w:szCs w:val="22"/>
          <w:color w:val="auto"/>
        </w:rPr>
      </w:pPr>
    </w:p>
    <w:p>
      <w:pPr>
        <w:ind w:left="642" w:hanging="318"/>
        <w:spacing w:after="0"/>
        <w:tabs>
          <w:tab w:leader="none" w:pos="64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short sales of Company Securities; or</w:t>
      </w:r>
    </w:p>
    <w:p>
      <w:pPr>
        <w:spacing w:after="0" w:line="27" w:lineRule="exact"/>
        <w:rPr>
          <w:rFonts w:ascii="Times New Roman" w:cs="Times New Roman" w:eastAsia="Times New Roman" w:hAnsi="Times New Roman"/>
          <w:sz w:val="22"/>
          <w:szCs w:val="22"/>
          <w:color w:val="auto"/>
        </w:rPr>
      </w:pPr>
    </w:p>
    <w:p>
      <w:pPr>
        <w:ind w:left="642" w:hanging="318"/>
        <w:spacing w:after="0"/>
        <w:tabs>
          <w:tab w:leader="none" w:pos="64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or selling exchange-traded options (puts or calls) on Company Securities.</w:t>
      </w:r>
    </w:p>
    <w:p>
      <w:pPr>
        <w:spacing w:after="0" w:line="8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22"/>
          <w:szCs w:val="22"/>
          <w:color w:val="auto"/>
        </w:rPr>
        <w:t>Transactions that you may consider necessary or justifiable for independent reasons (such as the need to raise money for an emergency expenditure or to satisfy margin requirements or “margin calls” in a securities account or to fund obligations secured by a pledge of Company Securities) are NOT excepted from this Policy. The federal securities laws do not recognize such mitigating circumstances and, in any event, even the appearance of an improper transaction must be avoided</w:t>
      </w:r>
    </w:p>
    <w:p>
      <w:pPr>
        <w:sectPr>
          <w:pgSz w:w="11900" w:h="16838" w:orient="portrait"/>
          <w:cols w:equalWidth="0" w:num="1">
            <w:col w:w="11042"/>
          </w:cols>
          <w:pgMar w:left="418" w:top="1341" w:right="439" w:bottom="1440" w:gutter="0" w:footer="0" w:header="0"/>
        </w:sectPr>
      </w:pPr>
    </w:p>
    <w:bookmarkStart w:id="245" w:name="page246"/>
    <w:bookmarkEnd w:id="245"/>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preserve both your and the Company’s reputation for adhering to the highest standards of business conduct.</w:t>
      </w:r>
    </w:p>
    <w:p>
      <w:pPr>
        <w:spacing w:after="0" w:line="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i w:val="1"/>
          <w:iCs w:val="1"/>
          <w:color w:val="auto"/>
        </w:rPr>
        <w:t>2.5.</w:t>
      </w:r>
      <w:r>
        <w:rPr>
          <w:sz w:val="20"/>
          <w:szCs w:val="20"/>
          <w:color w:val="auto"/>
        </w:rPr>
        <w:tab/>
      </w:r>
      <w:r>
        <w:rPr>
          <w:rFonts w:ascii="Times New Roman" w:cs="Times New Roman" w:eastAsia="Times New Roman" w:hAnsi="Times New Roman"/>
          <w:sz w:val="21"/>
          <w:szCs w:val="21"/>
          <w:b w:val="1"/>
          <w:bCs w:val="1"/>
          <w:i w:val="1"/>
          <w:iCs w:val="1"/>
          <w:color w:val="auto"/>
        </w:rPr>
        <w:t>What is “Material Information”?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Material information is any information that a reasonable investor would consider important in making a decision to buy, hold or sell securities. In general, any information that could be expected to affect the price of Company Securities, whether positively or negatively, should be considered material. Examples of information that ordinarily would be regarded as material are:</w:t>
      </w:r>
    </w:p>
    <w:p>
      <w:pPr>
        <w:spacing w:after="0" w:line="71" w:lineRule="exact"/>
        <w:rPr>
          <w:sz w:val="20"/>
          <w:szCs w:val="20"/>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revenue, operating income or loss or earnings results;</w:t>
      </w:r>
    </w:p>
    <w:p>
      <w:pPr>
        <w:spacing w:after="0" w:line="1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that are inconsistent with the earnings guidance or the consensus expectations of the investment community;</w:t>
      </w:r>
    </w:p>
    <w:p>
      <w:pPr>
        <w:spacing w:after="0" w:line="5" w:lineRule="exact"/>
        <w:rPr>
          <w:rFonts w:ascii="Times New Roman" w:cs="Times New Roman" w:eastAsia="Times New Roman" w:hAnsi="Times New Roman"/>
          <w:sz w:val="22"/>
          <w:szCs w:val="22"/>
          <w:color w:val="auto"/>
        </w:rPr>
      </w:pPr>
    </w:p>
    <w:p>
      <w:pPr>
        <w:ind w:left="640" w:right="360" w:hanging="318"/>
        <w:spacing w:after="0" w:line="248" w:lineRule="auto"/>
        <w:tabs>
          <w:tab w:leader="none" w:pos="6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sale, tender offer, recapitalization or strategic alliance involving Caesars Companies in any way;</w:t>
      </w:r>
    </w:p>
    <w:p>
      <w:pPr>
        <w:spacing w:after="0" w:line="1"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 (public or private);</w:t>
      </w:r>
    </w:p>
    <w:p>
      <w:pPr>
        <w:spacing w:after="0" w:line="1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program to repurchase securities of the Company;</w:t>
      </w:r>
    </w:p>
    <w:p>
      <w:pPr>
        <w:spacing w:after="0" w:line="3"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or a change in senior management of the Company;</w:t>
      </w:r>
    </w:p>
    <w:p>
      <w:pPr>
        <w:spacing w:after="0" w:line="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significant new product, invention, discovery or line of business;</w:t>
      </w:r>
    </w:p>
    <w:p>
      <w:pPr>
        <w:spacing w:after="0" w:line="1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 of or developments regarding government investigations;</w:t>
      </w:r>
    </w:p>
    <w:p>
      <w:pPr>
        <w:spacing w:after="0" w:line="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significant legislation or regulation affecting the Company’s business;</w:t>
      </w:r>
    </w:p>
    <w:p>
      <w:pPr>
        <w:spacing w:after="0" w:line="1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 of or developments regarding significant litigation;</w:t>
      </w:r>
    </w:p>
    <w:p>
      <w:pPr>
        <w:spacing w:after="0" w:line="5"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offering of Company Securities or refinancing of outstanding debt of the Company;</w:t>
      </w:r>
    </w:p>
    <w:p>
      <w:pPr>
        <w:spacing w:after="0" w:line="15" w:lineRule="exact"/>
        <w:rPr>
          <w:rFonts w:ascii="Times New Roman" w:cs="Times New Roman" w:eastAsia="Times New Roman" w:hAnsi="Times New Roman"/>
          <w:sz w:val="22"/>
          <w:szCs w:val="22"/>
          <w:color w:val="auto"/>
        </w:rPr>
      </w:pPr>
    </w:p>
    <w:p>
      <w:pPr>
        <w:ind w:left="640" w:right="540" w:hanging="318"/>
        <w:spacing w:after="0" w:line="243" w:lineRule="auto"/>
        <w:tabs>
          <w:tab w:leader="none" w:pos="6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or dispute with the Company’s auditors, or a determination to take a significant impairment charge or to restate previously issued financial statements; and</w:t>
      </w:r>
    </w:p>
    <w:p>
      <w:pPr>
        <w:ind w:left="640" w:right="560" w:hanging="318"/>
        <w:spacing w:after="0" w:line="248" w:lineRule="auto"/>
        <w:tabs>
          <w:tab w:leader="none" w:pos="6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involving a significant amount of Company Securities by a director, officer or other person who is a greater than 5% stockholder.</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Please be aware that anyone scrutinizing your transactions will be doing so after the fact, with the benefit of “twenty-twenty hindsight.” As a practical matter, before engaging in any transaction, you should carefully consider whether law enforcement authorities and others might, after the fact, view as “material” any information of which you may be aware that has not been publicly disclosed.</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i w:val="1"/>
          <w:iCs w:val="1"/>
          <w:color w:val="auto"/>
        </w:rPr>
        <w:t>2.6.</w:t>
      </w:r>
      <w:r>
        <w:rPr>
          <w:sz w:val="20"/>
          <w:szCs w:val="20"/>
          <w:color w:val="auto"/>
        </w:rPr>
        <w:tab/>
      </w:r>
      <w:r>
        <w:rPr>
          <w:rFonts w:ascii="Times New Roman" w:cs="Times New Roman" w:eastAsia="Times New Roman" w:hAnsi="Times New Roman"/>
          <w:sz w:val="21"/>
          <w:szCs w:val="21"/>
          <w:b w:val="1"/>
          <w:bCs w:val="1"/>
          <w:i w:val="1"/>
          <w:iCs w:val="1"/>
          <w:color w:val="auto"/>
        </w:rPr>
        <w:t>What is “Non-Public” Information?</w:t>
      </w:r>
    </w:p>
    <w:p>
      <w:pPr>
        <w:spacing w:after="0" w:line="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Information is considered “non-public” if it has not been disclosed broadly to the public markets (such as by press release or an SEC filing). The circulation of rumors, even if accurate and reported in the media, does not constitute adequate public dissemination for purposes of the insider trading laws or this Policy.</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must also wait a reasonable amount of time after public disclosure of material information relating to the Caesars Companies, or any other company whose securities are covered by this Policy, before trading in such securities, to ensure that the investing public has had time to absorb the information fully. Thus, as a general rule, information should be considered “non-</w:t>
      </w:r>
    </w:p>
    <w:p>
      <w:pPr>
        <w:sectPr>
          <w:pgSz w:w="11900" w:h="16838" w:orient="portrait"/>
          <w:cols w:equalWidth="0" w:num="1">
            <w:col w:w="11040"/>
          </w:cols>
          <w:pgMar w:left="420" w:top="1440" w:right="439" w:bottom="1440" w:gutter="0" w:footer="0" w:header="0"/>
        </w:sectPr>
      </w:pPr>
    </w:p>
    <w:bookmarkStart w:id="246" w:name="page247"/>
    <w:bookmarkEnd w:id="246"/>
    <w:p>
      <w:pPr>
        <w:spacing w:after="0" w:line="9" w:lineRule="exact"/>
        <w:rPr>
          <w:sz w:val="20"/>
          <w:szCs w:val="20"/>
          <w:color w:val="auto"/>
        </w:rPr>
      </w:pPr>
    </w:p>
    <w:p>
      <w:pPr>
        <w:jc w:val="both"/>
        <w:ind w:left="2" w:right="120"/>
        <w:spacing w:after="0" w:line="256" w:lineRule="auto"/>
        <w:rPr>
          <w:sz w:val="20"/>
          <w:szCs w:val="20"/>
          <w:color w:val="auto"/>
        </w:rPr>
      </w:pPr>
      <w:r>
        <w:rPr>
          <w:rFonts w:ascii="Times New Roman" w:cs="Times New Roman" w:eastAsia="Times New Roman" w:hAnsi="Times New Roman"/>
          <w:sz w:val="22"/>
          <w:szCs w:val="22"/>
          <w:color w:val="auto"/>
        </w:rPr>
        <w:t>public” until two (2) full trading days after the information is released; this means the opening of business on the third trading day. For example, if in an ordinary trading week the non-public information is disclosed publicly during, or following the close of, business on Monday, then Company Securities could be bought or sold beginning the opening of trading on Thursday, if otherwise permitted under this Policy.</w:t>
      </w:r>
    </w:p>
    <w:p>
      <w:pPr>
        <w:spacing w:after="0" w:line="172" w:lineRule="exact"/>
        <w:rPr>
          <w:sz w:val="20"/>
          <w:szCs w:val="20"/>
          <w:color w:val="auto"/>
        </w:rPr>
      </w:pPr>
    </w:p>
    <w:p>
      <w:pPr>
        <w:ind w:left="2" w:right="500" w:hanging="2"/>
        <w:spacing w:after="0" w:line="270" w:lineRule="auto"/>
        <w:tabs>
          <w:tab w:leader="none" w:pos="556"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the Policy to Transactions in Convertible or Exchangeable Securities or Shares Obtained Upon Conversion or Exchange</w:t>
      </w:r>
    </w:p>
    <w:p>
      <w:pPr>
        <w:spacing w:after="0" w:line="2" w:lineRule="exact"/>
        <w:rPr>
          <w:sz w:val="20"/>
          <w:szCs w:val="20"/>
          <w:color w:val="auto"/>
        </w:rPr>
      </w:pPr>
    </w:p>
    <w:p>
      <w:pPr>
        <w:ind w:left="2" w:right="600" w:firstLine="647"/>
        <w:spacing w:after="0" w:line="284" w:lineRule="auto"/>
        <w:rPr>
          <w:sz w:val="20"/>
          <w:szCs w:val="20"/>
          <w:color w:val="auto"/>
        </w:rPr>
      </w:pPr>
      <w:r>
        <w:rPr>
          <w:rFonts w:ascii="Times New Roman" w:cs="Times New Roman" w:eastAsia="Times New Roman" w:hAnsi="Times New Roman"/>
          <w:sz w:val="22"/>
          <w:szCs w:val="22"/>
          <w:color w:val="auto"/>
        </w:rPr>
        <w:t>You may convert convertible or exchange exchangeable securities of Caesars Companies that you own at any time permitted under the terms of such securities.</w:t>
      </w:r>
    </w:p>
    <w:p>
      <w:pPr>
        <w:spacing w:after="0" w:line="144" w:lineRule="exact"/>
        <w:rPr>
          <w:sz w:val="20"/>
          <w:szCs w:val="20"/>
          <w:color w:val="auto"/>
        </w:rPr>
      </w:pPr>
    </w:p>
    <w:p>
      <w:pPr>
        <w:ind w:left="2" w:right="620"/>
        <w:spacing w:after="0" w:line="236" w:lineRule="auto"/>
        <w:rPr>
          <w:sz w:val="20"/>
          <w:szCs w:val="20"/>
          <w:color w:val="auto"/>
        </w:rPr>
      </w:pPr>
      <w:r>
        <w:rPr>
          <w:rFonts w:ascii="Times New Roman" w:cs="Times New Roman" w:eastAsia="Times New Roman" w:hAnsi="Times New Roman"/>
          <w:sz w:val="22"/>
          <w:szCs w:val="22"/>
          <w:color w:val="auto"/>
        </w:rPr>
        <w:t>You must comply with Sections 2.4 if you wish to engage in a sale or other transaction with respect to such convertible or exchangeable securities and/or the securities obtained upon conversion or exchange.</w:t>
      </w:r>
    </w:p>
    <w:p>
      <w:pPr>
        <w:spacing w:after="0" w:line="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Blackout Insiders and Pre-Clearance Insiders are subject to additional restrictions set forth in the Policy Supplements.</w:t>
      </w:r>
    </w:p>
    <w:p>
      <w:pPr>
        <w:spacing w:after="0" w:line="216" w:lineRule="exact"/>
        <w:rPr>
          <w:sz w:val="20"/>
          <w:szCs w:val="20"/>
          <w:color w:val="auto"/>
        </w:rPr>
      </w:pPr>
    </w:p>
    <w:p>
      <w:pPr>
        <w:ind w:left="642" w:hanging="642"/>
        <w:spacing w:after="0"/>
        <w:tabs>
          <w:tab w:leader="none" w:pos="642"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w:t>
      </w:r>
    </w:p>
    <w:p>
      <w:pPr>
        <w:spacing w:after="0" w:line="62" w:lineRule="exact"/>
        <w:rPr>
          <w:sz w:val="20"/>
          <w:szCs w:val="20"/>
          <w:color w:val="auto"/>
        </w:rPr>
      </w:pPr>
    </w:p>
    <w:p>
      <w:pPr>
        <w:jc w:val="both"/>
        <w:ind w:left="2" w:right="100"/>
        <w:spacing w:after="0" w:line="263" w:lineRule="auto"/>
        <w:rPr>
          <w:sz w:val="20"/>
          <w:szCs w:val="20"/>
          <w:color w:val="auto"/>
        </w:rPr>
      </w:pPr>
      <w:r>
        <w:rPr>
          <w:rFonts w:ascii="Times New Roman" w:cs="Times New Roman" w:eastAsia="Times New Roman" w:hAnsi="Times New Roman"/>
          <w:sz w:val="22"/>
          <w:szCs w:val="22"/>
          <w:color w:val="auto"/>
        </w:rPr>
        <w:t>This Policy continues to apply to your transactions in Company Securities even after you have ceased to be a director, officer or employee as long as you are aware of material, non-public information. Neither you nor any of your Related Persons may trade until the time at which this information has become public.</w:t>
      </w:r>
    </w:p>
    <w:p>
      <w:pPr>
        <w:spacing w:after="0" w:line="59" w:lineRule="exact"/>
        <w:rPr>
          <w:sz w:val="20"/>
          <w:szCs w:val="20"/>
          <w:color w:val="auto"/>
        </w:rPr>
      </w:pPr>
    </w:p>
    <w:p>
      <w:pPr>
        <w:ind w:left="2" w:right="560"/>
        <w:spacing w:after="0" w:line="271" w:lineRule="auto"/>
        <w:rPr>
          <w:sz w:val="20"/>
          <w:szCs w:val="20"/>
          <w:color w:val="auto"/>
        </w:rPr>
      </w:pPr>
      <w:r>
        <w:rPr>
          <w:rFonts w:ascii="Times New Roman" w:cs="Times New Roman" w:eastAsia="Times New Roman" w:hAnsi="Times New Roman"/>
          <w:sz w:val="22"/>
          <w:szCs w:val="22"/>
          <w:color w:val="auto"/>
        </w:rPr>
        <w:t>Blackout Insiders and Pre-Clearance Insiders may be subject to additional restrictions on post- termination transactions, as described in the Policy Supplements.</w:t>
      </w:r>
    </w:p>
    <w:p>
      <w:pPr>
        <w:spacing w:after="0" w:line="154" w:lineRule="exact"/>
        <w:rPr>
          <w:sz w:val="20"/>
          <w:szCs w:val="20"/>
          <w:color w:val="auto"/>
        </w:rPr>
      </w:pPr>
    </w:p>
    <w:p>
      <w:pPr>
        <w:ind w:left="642" w:hanging="642"/>
        <w:spacing w:after="0"/>
        <w:tabs>
          <w:tab w:leader="none" w:pos="642"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Contacts and Responsibility</w:t>
      </w:r>
    </w:p>
    <w:p>
      <w:pPr>
        <w:spacing w:after="0" w:line="62" w:lineRule="exact"/>
        <w:rPr>
          <w:sz w:val="20"/>
          <w:szCs w:val="20"/>
          <w:color w:val="auto"/>
        </w:rPr>
      </w:pPr>
    </w:p>
    <w:p>
      <w:pPr>
        <w:ind w:left="2"/>
        <w:spacing w:after="0" w:line="263" w:lineRule="auto"/>
        <w:rPr>
          <w:sz w:val="20"/>
          <w:szCs w:val="20"/>
          <w:color w:val="auto"/>
        </w:rPr>
      </w:pPr>
      <w:r>
        <w:rPr>
          <w:rFonts w:ascii="Times New Roman" w:cs="Times New Roman" w:eastAsia="Times New Roman" w:hAnsi="Times New Roman"/>
          <w:sz w:val="22"/>
          <w:szCs w:val="22"/>
          <w:color w:val="auto"/>
        </w:rPr>
        <w:t>If you have any questions about this Policy or its application to any proposed transaction in Company Securities or any proposed adoption or change in a Rule 10b5-1 trading plan, you may contact Ed Quatmann, General Counsel, at (775) 348.3324 or equatmann@caesars.com.</w:t>
      </w:r>
    </w:p>
    <w:p>
      <w:pPr>
        <w:spacing w:after="0" w:line="59" w:lineRule="exact"/>
        <w:rPr>
          <w:sz w:val="20"/>
          <w:szCs w:val="20"/>
          <w:color w:val="auto"/>
        </w:rPr>
      </w:pPr>
    </w:p>
    <w:p>
      <w:pPr>
        <w:jc w:val="both"/>
        <w:ind w:left="2" w:right="260"/>
        <w:spacing w:after="0" w:line="257" w:lineRule="auto"/>
        <w:rPr>
          <w:sz w:val="20"/>
          <w:szCs w:val="20"/>
          <w:color w:val="auto"/>
        </w:rPr>
      </w:pPr>
      <w:r>
        <w:rPr>
          <w:rFonts w:ascii="Times New Roman" w:cs="Times New Roman" w:eastAsia="Times New Roman" w:hAnsi="Times New Roman"/>
          <w:sz w:val="22"/>
          <w:szCs w:val="22"/>
          <w:color w:val="auto"/>
        </w:rPr>
        <w:t>Ultimately, however, the responsibility for adhering to this Policy and avoiding unlawful transactions, whether by you or your Related Persons, rests with you. You should use your best judgment and consult your personal legal and financial advisors as needed.</w:t>
      </w:r>
    </w:p>
    <w:p>
      <w:pPr>
        <w:spacing w:after="0" w:line="182" w:lineRule="exact"/>
        <w:rPr>
          <w:sz w:val="20"/>
          <w:szCs w:val="20"/>
          <w:color w:val="auto"/>
        </w:rPr>
      </w:pPr>
    </w:p>
    <w:p>
      <w:pPr>
        <w:ind w:left="642" w:hanging="642"/>
        <w:spacing w:after="0"/>
        <w:tabs>
          <w:tab w:leader="none" w:pos="642"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Certification</w:t>
      </w:r>
    </w:p>
    <w:p>
      <w:pPr>
        <w:spacing w:after="0" w:line="62" w:lineRule="exact"/>
        <w:rPr>
          <w:sz w:val="20"/>
          <w:szCs w:val="20"/>
          <w:color w:val="auto"/>
        </w:rPr>
      </w:pPr>
    </w:p>
    <w:p>
      <w:pPr>
        <w:ind w:left="2" w:right="520"/>
        <w:spacing w:after="0" w:line="271" w:lineRule="auto"/>
        <w:rPr>
          <w:sz w:val="20"/>
          <w:szCs w:val="20"/>
          <w:color w:val="auto"/>
        </w:rPr>
      </w:pPr>
      <w:r>
        <w:rPr>
          <w:rFonts w:ascii="Times New Roman" w:cs="Times New Roman" w:eastAsia="Times New Roman" w:hAnsi="Times New Roman"/>
          <w:sz w:val="22"/>
          <w:szCs w:val="22"/>
          <w:color w:val="auto"/>
        </w:rPr>
        <w:t>All persons covered by this Policy have an obligation to read it carefully and understand its provisions. Further, all persons covered by this Policy must certify compliance upon request of the Company.</w:t>
      </w:r>
    </w:p>
    <w:p>
      <w:pPr>
        <w:spacing w:after="0" w:line="154" w:lineRule="exact"/>
        <w:rPr>
          <w:sz w:val="20"/>
          <w:szCs w:val="20"/>
          <w:color w:val="auto"/>
        </w:rPr>
      </w:pPr>
    </w:p>
    <w:p>
      <w:pPr>
        <w:ind w:left="642" w:hanging="642"/>
        <w:spacing w:after="0"/>
        <w:tabs>
          <w:tab w:leader="none" w:pos="642"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w:t>
      </w:r>
    </w:p>
    <w:p>
      <w:pPr>
        <w:spacing w:after="0" w:line="115" w:lineRule="exact"/>
        <w:rPr>
          <w:rFonts w:ascii="Times New Roman" w:cs="Times New Roman" w:eastAsia="Times New Roman" w:hAnsi="Times New Roman"/>
          <w:sz w:val="22"/>
          <w:szCs w:val="22"/>
          <w:b w:val="1"/>
          <w:bCs w:val="1"/>
          <w:color w:val="auto"/>
        </w:rPr>
      </w:pPr>
    </w:p>
    <w:p>
      <w:pPr>
        <w:ind w:left="642" w:right="600" w:hanging="318"/>
        <w:spacing w:after="0" w:line="255" w:lineRule="auto"/>
        <w:tabs>
          <w:tab w:leader="none" w:pos="63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buy, sell, pledge or otherwise transfer Company Securities — or any securities of any other company about which you have learned information in the course of working for any Caesars Company — if you are aware of material, non-public information.</w:t>
      </w:r>
    </w:p>
    <w:p>
      <w:pPr>
        <w:ind w:left="642" w:hanging="318"/>
        <w:spacing w:after="0" w:line="230" w:lineRule="auto"/>
        <w:tabs>
          <w:tab w:leader="none" w:pos="64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share material, non-public information with others outside the Caesars Companies</w:t>
      </w:r>
    </w:p>
    <w:p>
      <w:pPr>
        <w:ind w:left="64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even family members or friends.</w:t>
      </w:r>
    </w:p>
    <w:p>
      <w:pPr>
        <w:sectPr>
          <w:pgSz w:w="11900" w:h="16838" w:orient="portrait"/>
          <w:cols w:equalWidth="0" w:num="1">
            <w:col w:w="11142"/>
          </w:cols>
          <w:pgMar w:left="418" w:top="1440" w:right="339" w:bottom="1440" w:gutter="0" w:footer="0" w:header="0"/>
        </w:sectPr>
      </w:pPr>
    </w:p>
    <w:bookmarkStart w:id="247" w:name="page248"/>
    <w:bookmarkEnd w:id="247"/>
    <w:p>
      <w:pPr>
        <w:ind w:left="318" w:right="159" w:hanging="318"/>
        <w:spacing w:after="0" w:line="284" w:lineRule="auto"/>
        <w:tabs>
          <w:tab w:leader="none" w:pos="30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Blackout Insiders and Pre-Clearance Insiders must comply with the additional requirements set forth in the Policy Supplements.</w:t>
      </w:r>
    </w:p>
    <w:p>
      <w:pPr>
        <w:sectPr>
          <w:pgSz w:w="11900" w:h="16838" w:orient="portrait"/>
          <w:cols w:equalWidth="0" w:num="1">
            <w:col w:w="9717"/>
          </w:cols>
          <w:pgMar w:left="742" w:top="1341" w:right="1440" w:bottom="1440" w:gutter="0" w:footer="0" w:header="0"/>
        </w:sectPr>
      </w:pPr>
    </w:p>
    <w:bookmarkStart w:id="248" w:name="page249"/>
    <w:bookmarkEnd w:id="248"/>
    <w:p>
      <w:pPr>
        <w:jc w:val="center"/>
        <w:ind w:right="-1020"/>
        <w:spacing w:after="0"/>
        <w:rPr>
          <w:sz w:val="20"/>
          <w:szCs w:val="20"/>
          <w:color w:val="auto"/>
        </w:rPr>
      </w:pPr>
      <w:r>
        <w:rPr>
          <w:rFonts w:ascii="Times New Roman" w:cs="Times New Roman" w:eastAsia="Times New Roman" w:hAnsi="Times New Roman"/>
          <w:sz w:val="25"/>
          <w:szCs w:val="25"/>
          <w:b w:val="1"/>
          <w:bCs w:val="1"/>
          <w:color w:val="auto"/>
        </w:rPr>
        <w:t>CAESARS ENTERTAINMENT, INC.</w:t>
      </w: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Securities Trading Policy</w:t>
      </w:r>
    </w:p>
    <w:p>
      <w:pPr>
        <w:spacing w:after="0" w:line="237" w:lineRule="exact"/>
        <w:rPr>
          <w:sz w:val="20"/>
          <w:szCs w:val="20"/>
          <w:color w:val="auto"/>
        </w:rPr>
      </w:pPr>
    </w:p>
    <w:p>
      <w:pPr>
        <w:ind w:right="59" w:firstLine="647"/>
        <w:spacing w:after="0" w:line="271" w:lineRule="auto"/>
        <w:rPr>
          <w:sz w:val="20"/>
          <w:szCs w:val="20"/>
          <w:color w:val="auto"/>
        </w:rPr>
      </w:pPr>
      <w:r>
        <w:rPr>
          <w:rFonts w:ascii="Times New Roman" w:cs="Times New Roman" w:eastAsia="Times New Roman" w:hAnsi="Times New Roman"/>
          <w:sz w:val="22"/>
          <w:szCs w:val="22"/>
          <w:color w:val="auto"/>
        </w:rPr>
        <w:t>The undersigned hereby acknowledges that he/she has read and understands, and agrees to comply with, the Company’s Securities Trading Policy.</w:t>
      </w: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-13970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039"/>
          </w:cols>
          <w:pgMar w:left="420" w:top="1407"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770"/>
        </w:trPr>
        <w:tc>
          <w:tcPr>
            <w:tcW w:w="3860" w:type="dxa"/>
            <w:vAlign w:val="bottom"/>
          </w:tcPr>
          <w:p>
            <w:pPr>
              <w:spacing w:after="0"/>
              <w:rPr>
                <w:sz w:val="24"/>
                <w:szCs w:val="24"/>
                <w:color w:val="auto"/>
              </w:rPr>
            </w:pPr>
          </w:p>
        </w:tc>
        <w:tc>
          <w:tcPr>
            <w:tcW w:w="7340" w:type="dxa"/>
            <w:vAlign w:val="bottom"/>
          </w:tcPr>
          <w:p>
            <w:pPr>
              <w:jc w:val="center"/>
              <w:ind w:right="3789"/>
              <w:spacing w:after="0"/>
              <w:rPr>
                <w:sz w:val="20"/>
                <w:szCs w:val="20"/>
                <w:color w:val="auto"/>
              </w:rPr>
            </w:pPr>
            <w:r>
              <w:rPr>
                <w:rFonts w:ascii="Times New Roman" w:cs="Times New Roman" w:eastAsia="Times New Roman" w:hAnsi="Times New Roman"/>
                <w:sz w:val="20"/>
                <w:szCs w:val="20"/>
                <w:b w:val="1"/>
                <w:bCs w:val="1"/>
                <w:color w:val="auto"/>
                <w:w w:val="97"/>
              </w:rPr>
              <w:t>CAESARS ENTERTAINMENT, INC.</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7340" w:type="dxa"/>
            <w:vAlign w:val="bottom"/>
          </w:tcPr>
          <w:p>
            <w:pPr>
              <w:jc w:val="center"/>
              <w:ind w:right="3789"/>
              <w:spacing w:after="0"/>
              <w:rPr>
                <w:sz w:val="20"/>
                <w:szCs w:val="20"/>
                <w:color w:val="auto"/>
              </w:rPr>
            </w:pPr>
            <w:r>
              <w:rPr>
                <w:rFonts w:ascii="Times New Roman" w:cs="Times New Roman" w:eastAsia="Times New Roman" w:hAnsi="Times New Roman"/>
                <w:sz w:val="20"/>
                <w:szCs w:val="20"/>
                <w:b w:val="1"/>
                <w:bCs w:val="1"/>
                <w:color w:val="auto"/>
                <w:w w:val="98"/>
              </w:rPr>
              <w:t>LIST OF SUBSIDIARIES</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7340" w:type="dxa"/>
            <w:vAlign w:val="bottom"/>
          </w:tcPr>
          <w:p>
            <w:pPr>
              <w:jc w:val="center"/>
              <w:ind w:right="3789"/>
              <w:spacing w:after="0"/>
              <w:rPr>
                <w:sz w:val="20"/>
                <w:szCs w:val="20"/>
                <w:color w:val="auto"/>
              </w:rPr>
            </w:pPr>
            <w:r>
              <w:rPr>
                <w:rFonts w:ascii="Times New Roman" w:cs="Times New Roman" w:eastAsia="Times New Roman" w:hAnsi="Times New Roman"/>
                <w:sz w:val="20"/>
                <w:szCs w:val="20"/>
                <w:b w:val="1"/>
                <w:bCs w:val="1"/>
                <w:color w:val="auto"/>
                <w:w w:val="98"/>
              </w:rPr>
              <w:t>As of February 25, 2025</w:t>
            </w:r>
          </w:p>
        </w:tc>
        <w:tc>
          <w:tcPr>
            <w:tcW w:w="0" w:type="dxa"/>
            <w:vAlign w:val="bottom"/>
          </w:tcPr>
          <w:p>
            <w:pPr>
              <w:spacing w:after="0"/>
              <w:rPr>
                <w:sz w:val="1"/>
                <w:szCs w:val="1"/>
                <w:color w:val="auto"/>
              </w:rPr>
            </w:pPr>
          </w:p>
        </w:tc>
      </w:tr>
      <w:tr>
        <w:trPr>
          <w:trHeight w:val="21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3860" w:type="dxa"/>
            <w:vAlign w:val="bottom"/>
            <w:vMerge w:val="continue"/>
          </w:tcPr>
          <w:p>
            <w:pPr>
              <w:spacing w:after="0"/>
              <w:rPr>
                <w:sz w:val="20"/>
                <w:szCs w:val="20"/>
                <w:color w:val="auto"/>
              </w:rPr>
            </w:pP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1300 WSED,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1301 WSED,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Maryland</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1400 WSED,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3535 LV Newco,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 Conference Newco,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American Wagering, Inc.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Aster Insurance Ltd.</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AWI Manufacturing, Inc.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Aztar Riverboat Holding Company,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Bally's Las Vegas Manager,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Bally's Park Place,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Benco,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 Development,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Minnesota</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Black Hawk Holdings,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Boardwalk Regency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Brandywine Bookmaking,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BV Manager,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BW Sub Co.</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Asia Limited</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Baltimore Investment Company,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Baltimore Management Company,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Convention Center Owner,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Digital Canada, Inc.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Digital PR, Inc.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Puerto Rico</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Dubai,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Enterprise Services,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Entertainment Japan,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Entertainment Windsor Limited</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7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Bally's LV,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Baltimore Fee,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Cromwell,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Harrah's New Orleans,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Partners,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PH Fee,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PH,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Growth Quad,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Holdings, Inc.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Interactive Entertainment New Jersey,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Joint IP Company Limited</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License Company,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Massachusetts Investment Company,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Nevada Newco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New Jersey,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Octavius,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Caesars Palace LLC</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60" w:top="117" w:right="33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6940" w:type="dxa"/>
            <w:vAlign w:val="bottom"/>
            <w:vMerge w:val="continue"/>
          </w:tcPr>
          <w:p>
            <w:pPr>
              <w:spacing w:after="0"/>
              <w:rPr>
                <w:sz w:val="20"/>
                <w:szCs w:val="20"/>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Palace Times Square,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Resort Collection,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Trademark LicenseCo,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Republic Dry Creek,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Trading and Technology Services Limited</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Virginia,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World International Corporation (S) PTE, Ltd.</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World International Far East Limited</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World,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Caesars World Marketing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California Clearing Corporation</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7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Casino Computer Programming, Inc.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CBAC Borrower,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CBAC Gaming,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CBAC Holding Company,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CCR Newco,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CCSC/Blackhawk, Inc.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Centaur Acquisition,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Centaur Colorado,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Centaur Holdings,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CEOC,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CEWL Holdco,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Chester Downs and Marina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7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CIE Growth,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Circus and Eldorado Joint Venture,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Computerized Bookmaking Systems, Inc.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Corner Investment Company,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CPLV Manager,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CPTS Investment Company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CPTS JV Holding Company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CPTS JV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CPTS Manager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Cromwell Manager,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CRS Annex,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CVA Holdco,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Desert Palace,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Digital HoldCo,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Eastside Convention Center,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Eldo Fit,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Eldorado Holdco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Eldorado Limited Liability Company</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Eldorado Shreveport #1,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Eldorado Shreveport #2,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Elgin Holdings I,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Elgin Holdings II, LLC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Elgin Riverboat Resort - Riverboat Casino</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6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RMG Canada, Inc.</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bl>
    <w:p>
      <w:pPr>
        <w:sectPr>
          <w:pgSz w:w="11900" w:h="16838" w:orient="portrait"/>
          <w:cols w:equalWidth="0" w:num="1">
            <w:col w:w="11160"/>
          </w:cols>
          <w:pgMar w:left="360" w:top="905" w:right="379"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220" w:type="dxa"/>
            <w:vAlign w:val="bottom"/>
            <w:vMerge w:val="continue"/>
          </w:tcPr>
          <w:p>
            <w:pPr>
              <w:spacing w:after="0"/>
              <w:rPr>
                <w:sz w:val="20"/>
                <w:szCs w:val="20"/>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Flamingo CERP Manager,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Flamingo Las Vegas Operating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Four Suits Technology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GB Investor,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Giles Road Developer,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Grand Casinos of Biloxi,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Minnesota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Grand Casinos,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Minnesota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 South Shore Corporation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Arizona Corporation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Atlantic City Operating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Atlantic City Propco,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Chester Downs Investment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Chester Downs Management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Illinois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Iowa Arena Management,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Las Vegas,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Laughlin,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Management Company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NC Casino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North Carolina</w:t>
            </w:r>
          </w:p>
        </w:tc>
        <w:tc>
          <w:tcPr>
            <w:tcW w:w="0" w:type="dxa"/>
            <w:vAlign w:val="bottom"/>
          </w:tcPr>
          <w:p>
            <w:pPr>
              <w:spacing w:after="0"/>
              <w:rPr>
                <w:sz w:val="1"/>
                <w:szCs w:val="1"/>
                <w:color w:val="auto"/>
              </w:rPr>
            </w:pPr>
          </w:p>
        </w:tc>
      </w:tr>
      <w:tr>
        <w:trPr>
          <w:trHeight w:val="25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Nebraska,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New Orleans Management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North Kansas City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5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Oklahoma,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Harrah's Shreveport/Bossier City Investment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Harveys BR Management Company,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Harveys Iowa Management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Harveys Tahoe Management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HBR Realty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HCAL,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HLV CERP Manager,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Hole in the Wall,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Hoosier Park,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Horseshoe Entertainment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Horseshoe Gaming Holding,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Horseshoe GP,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Horseshoe Hammond,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HTM Holding,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IC Holdings Colorado,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 - Black Hawk Distribution Company,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 - Boonville,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 - Lula,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 Black Hawk County,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Iowa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 Holdings,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 Services,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IOC-Natchez,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IOC-PA, L.L.C.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IOC-Vicksburg, Inc.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60"/>
          </w:cols>
          <w:pgMar w:left="360" w:top="905" w:right="379"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6840" w:type="dxa"/>
            <w:vAlign w:val="bottom"/>
            <w:vMerge w:val="continue"/>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IOC-Vicksburg,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IPB Services,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Isle of Capri Bettendorf Marina Corporation</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Iowa</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Isle of Capri Bettendorf,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Iowa</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Isle of Capri Black Hawk,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Isle of Capri Casinos,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Isle Promotional Association,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Jazz Casino Company,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JCC Fulton Development,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JCC Holding Company II,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Lady Luck Gaming Corporation</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Lady Luck Vicksburg,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Laughlin CERP Manager,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7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Laundry Newco,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Lighthouse Point,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LINQCUP,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MTR Gaming Group,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New Centaur,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New Gaming Capital Partnership</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New Jazz Enterprises,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New Robinson Property Group,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Non-CPLV Manager,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Old PID,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OS Holdco,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Parball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7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Parball Newco,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Paris CERP Manager,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Paris Las Vegas Operating Company,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PHW Las Vegas,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PHW Manager,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7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PHWCUP,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PHWLV,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Pier at Caesars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Players Holding,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Players International,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Pompano Park Holdings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PPI Development,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PPI,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Racelinebet,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Oregon</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Rio CERP Manager,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Rio Properties,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Robinson Property Group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Roman Holding Company of Indiana,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Romulus Risk and Insurance Company,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Scioto Downs,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SDRS, Inc.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Showboat Atlantic City Operating Company, LLC</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bl>
    <w:p>
      <w:pPr>
        <w:sectPr>
          <w:pgSz w:w="11900" w:h="16838" w:orient="portrait"/>
          <w:cols w:equalWidth="0" w:num="1">
            <w:col w:w="11160"/>
          </w:cols>
          <w:pgMar w:left="360" w:top="905" w:right="37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6780" w:type="dxa"/>
            <w:vAlign w:val="bottom"/>
            <w:vMerge w:val="continue"/>
          </w:tcPr>
          <w:p>
            <w:pPr>
              <w:spacing w:after="0"/>
              <w:rPr>
                <w:sz w:val="20"/>
                <w:szCs w:val="20"/>
                <w:color w:val="auto"/>
              </w:rPr>
            </w:pP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Southern Illinois Riverboat/Casino Cruises,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 Charles Gaming Company,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TEI (ES),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TEI (St. Louis Re),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TEI (STLH),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Quad Manager,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Atlantic City Corp.</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Entertainment, Inc.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Laughlin,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St. Louis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St. Louis RE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Tunica Roadhouse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Vegas Development Land Owner,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WH NV III, LLC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William Hill DFSB, Inc.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William Hill Nevada I</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William Hill Nevada III</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William Hill New Jersey, Inc.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William Hill US Holdco, Inc.</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Windsor Casino Limited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ZF BidCo Pty Ltd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Zeroflucs Group Pty Ltd.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Zeroflucs Labs Pty Ltd.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Zeroflucs Pty Ltd.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bl>
    <w:p>
      <w:pPr>
        <w:sectPr>
          <w:pgSz w:w="11900" w:h="16838" w:orient="portrait"/>
          <w:cols w:equalWidth="0" w:num="1">
            <w:col w:w="11160"/>
          </w:cols>
          <w:pgMar w:left="360" w:top="905" w:right="37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Nos. 333-280383, 333-232336, and 333-245051 on Form S-8 of our reports dated </w:t>
      </w:r>
      <w:r>
        <w:rPr>
          <w:rFonts w:ascii="Times New Roman" w:cs="Times New Roman" w:eastAsia="Times New Roman" w:hAnsi="Times New Roman"/>
          <w:sz w:val="18"/>
          <w:szCs w:val="18"/>
          <w:color w:val="333333"/>
        </w:rPr>
        <w:t>February 25, 2025</w:t>
      </w:r>
      <w:r>
        <w:rPr>
          <w:rFonts w:ascii="Times New Roman" w:cs="Times New Roman" w:eastAsia="Times New Roman" w:hAnsi="Times New Roman"/>
          <w:sz w:val="18"/>
          <w:szCs w:val="18"/>
          <w:color w:val="000000"/>
        </w:rPr>
        <w:t>, relating to the financial statements of Caesars Entertainment, Inc. (the “Company”) and the effectiveness of the Company’s internal</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control over financial reporting appearing in this Annual Report on Form 10-K for the year ended </w:t>
      </w:r>
      <w:r>
        <w:rPr>
          <w:rFonts w:ascii="Times New Roman" w:cs="Times New Roman" w:eastAsia="Times New Roman" w:hAnsi="Times New Roman"/>
          <w:sz w:val="18"/>
          <w:szCs w:val="18"/>
          <w:color w:val="333333"/>
        </w:rPr>
        <w:t>December 31, 2024</w:t>
      </w:r>
      <w:r>
        <w:rPr>
          <w:rFonts w:ascii="Times New Roman" w:cs="Times New Roman" w:eastAsia="Times New Roman" w:hAnsi="Times New Roman"/>
          <w:sz w:val="18"/>
          <w:szCs w:val="18"/>
          <w:color w:val="000000"/>
        </w:rPr>
        <w: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25, 2025</w:t>
      </w:r>
    </w:p>
    <w:p>
      <w:pPr>
        <w:sectPr>
          <w:pgSz w:w="11900" w:h="16838" w:orient="portrait"/>
          <w:cols w:equalWidth="0" w:num="1">
            <w:col w:w="11240"/>
          </w:cols>
          <w:pgMar w:left="320" w:top="907"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CERTIFICATION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 AND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Reeg, certify that:</w:t>
      </w:r>
    </w:p>
    <w:p>
      <w:pPr>
        <w:spacing w:after="0" w:line="76" w:lineRule="exact"/>
        <w:rPr>
          <w:sz w:val="20"/>
          <w:szCs w:val="20"/>
          <w:color w:val="auto"/>
        </w:rPr>
      </w:pPr>
    </w:p>
    <w:p>
      <w:pPr>
        <w:ind w:left="660" w:hanging="652"/>
        <w:spacing w:after="0" w:line="207" w:lineRule="exact"/>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Caesars Entertainment, Inc.;</w:t>
      </w:r>
    </w:p>
    <w:p>
      <w:pPr>
        <w:spacing w:after="0" w:line="15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26" w:lineRule="exact"/>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9317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Thomas R. Reeg</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Caesars Entertainment,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9317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hanging="652"/>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represents, in all material respects, the financial condition and results of operations of the Company.</w:t>
      </w:r>
    </w:p>
    <w:p>
      <w:pPr>
        <w:spacing w:after="0" w:line="3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9317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R. Reeg</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hanging="652"/>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represents, in all material respects, the financial condition and results of operations of the Company.</w:t>
      </w:r>
    </w:p>
    <w:p>
      <w:pPr>
        <w:spacing w:after="0" w:line="3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9317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CAESARS ENTERTAINMENT, INC.</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left="20" w:right="100" w:firstLine="647"/>
        <w:spacing w:after="0" w:line="222" w:lineRule="auto"/>
        <w:rPr>
          <w:sz w:val="20"/>
          <w:szCs w:val="20"/>
          <w:color w:val="auto"/>
        </w:rPr>
      </w:pPr>
      <w:r>
        <w:rPr>
          <w:rFonts w:ascii="Times New Roman" w:cs="Times New Roman" w:eastAsia="Times New Roman" w:hAnsi="Times New Roman"/>
          <w:sz w:val="22"/>
          <w:szCs w:val="22"/>
          <w:color w:val="auto"/>
        </w:rPr>
        <w:t>Caesars Entertainment,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December 1,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This Policy supersedes and replaces in its entirety the Clawback &amp; Recoupment Policy adopted by the Board of Directors of the Company on February 27, 2019. Capitalized terms used in this Policy but not otherwise defined herein are defined in Section 11.</w:t>
      </w:r>
    </w:p>
    <w:p>
      <w:pPr>
        <w:spacing w:after="0" w:line="186" w:lineRule="exact"/>
        <w:rPr>
          <w:sz w:val="20"/>
          <w:szCs w:val="20"/>
          <w:color w:val="auto"/>
        </w:rPr>
      </w:pPr>
    </w:p>
    <w:p>
      <w:pPr>
        <w:ind w:left="660" w:hanging="642"/>
        <w:spacing w:after="0"/>
        <w:tabs>
          <w:tab w:leader="none" w:pos="66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202" w:lineRule="exact"/>
        <w:rPr>
          <w:rFonts w:ascii="Times New Roman" w:cs="Times New Roman" w:eastAsia="Times New Roman" w:hAnsi="Times New Roman"/>
          <w:sz w:val="22"/>
          <w:szCs w:val="22"/>
          <w:b w:val="1"/>
          <w:bCs w:val="1"/>
          <w:color w:val="auto"/>
        </w:rPr>
      </w:pPr>
    </w:p>
    <w:p>
      <w:pPr>
        <w:ind w:left="660" w:hanging="642"/>
        <w:spacing w:after="0"/>
        <w:tabs>
          <w:tab w:leader="none" w:pos="66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left="20" w:right="100" w:firstLine="647"/>
        <w:spacing w:after="0" w:line="21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9" w:lineRule="exact"/>
        <w:rPr>
          <w:sz w:val="20"/>
          <w:szCs w:val="20"/>
          <w:color w:val="auto"/>
        </w:rPr>
      </w:pPr>
    </w:p>
    <w:p>
      <w:pPr>
        <w:ind w:left="660" w:hanging="642"/>
        <w:spacing w:after="0"/>
        <w:tabs>
          <w:tab w:leader="none" w:pos="66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left="20" w:right="100" w:firstLine="647"/>
        <w:spacing w:after="0" w:line="212"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any similar term of like effect) under any plan, program or policy of or agreement with the Company or any of its affiliates.</w:t>
      </w:r>
    </w:p>
    <w:p>
      <w:pPr>
        <w:spacing w:after="0" w:line="193" w:lineRule="exact"/>
        <w:rPr>
          <w:sz w:val="20"/>
          <w:szCs w:val="20"/>
          <w:color w:val="auto"/>
        </w:rPr>
      </w:pPr>
    </w:p>
    <w:p>
      <w:pPr>
        <w:ind w:left="660" w:hanging="642"/>
        <w:spacing w:after="0"/>
        <w:tabs>
          <w:tab w:leader="none" w:pos="6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left="20" w:right="100" w:firstLine="647"/>
        <w:spacing w:after="0" w:line="212"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60"/>
          </w:cols>
          <w:pgMar w:left="400" w:top="100" w:right="339" w:bottom="1440" w:gutter="0" w:footer="0" w:header="0"/>
        </w:sectPr>
      </w:pPr>
    </w:p>
    <w:bookmarkStart w:id="260" w:name="page261"/>
    <w:bookmarkEnd w:id="260"/>
    <w:p>
      <w:pPr>
        <w:jc w:val="both"/>
        <w:ind w:left="20"/>
        <w:spacing w:after="0" w:line="225" w:lineRule="auto"/>
        <w:rPr>
          <w:sz w:val="20"/>
          <w:szCs w:val="20"/>
          <w:color w:val="auto"/>
        </w:rPr>
      </w:pPr>
      <w:r>
        <w:rPr>
          <w:rFonts w:ascii="Times New Roman" w:cs="Times New Roman" w:eastAsia="Times New Roman" w:hAnsi="Times New Roman"/>
          <w:sz w:val="22"/>
          <w:szCs w:val="22"/>
          <w:color w:val="auto"/>
        </w:rPr>
        <w:t>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5" w:lineRule="exact"/>
        <w:rPr>
          <w:sz w:val="20"/>
          <w:szCs w:val="20"/>
          <w:color w:val="auto"/>
        </w:rPr>
      </w:pPr>
    </w:p>
    <w:p>
      <w:pPr>
        <w:ind w:left="660" w:hanging="642"/>
        <w:spacing w:after="0"/>
        <w:tabs>
          <w:tab w:leader="none" w:pos="6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left="20" w:firstLine="647"/>
        <w:spacing w:after="0" w:line="211"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1" w:lineRule="exact"/>
        <w:rPr>
          <w:sz w:val="20"/>
          <w:szCs w:val="20"/>
          <w:color w:val="auto"/>
        </w:rPr>
      </w:pPr>
    </w:p>
    <w:p>
      <w:pPr>
        <w:ind w:left="660" w:hanging="642"/>
        <w:spacing w:after="0"/>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left="20" w:right="20" w:firstLine="647"/>
        <w:spacing w:after="0" w:line="225"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89" w:lineRule="exact"/>
        <w:rPr>
          <w:sz w:val="20"/>
          <w:szCs w:val="20"/>
          <w:color w:val="auto"/>
        </w:rPr>
      </w:pPr>
    </w:p>
    <w:p>
      <w:pPr>
        <w:ind w:left="660" w:hanging="642"/>
        <w:spacing w:after="0"/>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left="20" w:firstLine="647"/>
        <w:spacing w:after="0" w:line="21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9" w:lineRule="exact"/>
        <w:rPr>
          <w:sz w:val="20"/>
          <w:szCs w:val="20"/>
          <w:color w:val="auto"/>
        </w:rPr>
      </w:pPr>
    </w:p>
    <w:p>
      <w:pPr>
        <w:ind w:left="660" w:hanging="642"/>
        <w:spacing w:after="0"/>
        <w:tabs>
          <w:tab w:leader="none" w:pos="66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left="20" w:firstLine="647"/>
        <w:spacing w:after="0" w:line="213"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60"/>
          </w:cols>
          <w:pgMar w:left="400" w:top="1395" w:right="439" w:bottom="1440" w:gutter="0" w:footer="0" w:header="0"/>
        </w:sectPr>
      </w:pPr>
    </w:p>
    <w:bookmarkStart w:id="261" w:name="page262"/>
    <w:bookmarkEnd w:id="261"/>
    <w:p>
      <w:pPr>
        <w:spacing w:after="0" w:line="194" w:lineRule="exact"/>
        <w:rPr>
          <w:sz w:val="20"/>
          <w:szCs w:val="20"/>
          <w:color w:val="auto"/>
        </w:rPr>
      </w:pPr>
    </w:p>
    <w:p>
      <w:pPr>
        <w:ind w:left="660" w:hanging="642"/>
        <w:spacing w:after="0"/>
        <w:tabs>
          <w:tab w:leader="none" w:pos="66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left="20" w:firstLine="647"/>
        <w:spacing w:after="0" w:line="22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89" w:lineRule="exact"/>
        <w:rPr>
          <w:sz w:val="20"/>
          <w:szCs w:val="20"/>
          <w:color w:val="auto"/>
        </w:rPr>
      </w:pPr>
    </w:p>
    <w:p>
      <w:pPr>
        <w:ind w:left="660" w:hanging="642"/>
        <w:spacing w:after="0"/>
        <w:tabs>
          <w:tab w:leader="none" w:pos="66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left="20" w:right="20" w:firstLine="647"/>
        <w:spacing w:after="0" w:line="225"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9" w:lineRule="exact"/>
        <w:rPr>
          <w:sz w:val="20"/>
          <w:szCs w:val="20"/>
          <w:color w:val="auto"/>
        </w:rPr>
      </w:pPr>
    </w:p>
    <w:p>
      <w:pPr>
        <w:ind w:left="660" w:hanging="642"/>
        <w:spacing w:after="0"/>
        <w:tabs>
          <w:tab w:leader="none" w:pos="66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50" w:lineRule="exact"/>
        <w:rPr>
          <w:sz w:val="20"/>
          <w:szCs w:val="20"/>
          <w:color w:val="auto"/>
        </w:rPr>
      </w:pPr>
    </w:p>
    <w:p>
      <w:pPr>
        <w:jc w:val="both"/>
        <w:ind w:left="20" w:right="20" w:firstLine="647"/>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76" w:lineRule="exact"/>
        <w:rPr>
          <w:sz w:val="20"/>
          <w:szCs w:val="20"/>
          <w:color w:val="auto"/>
        </w:rPr>
      </w:pPr>
    </w:p>
    <w:p>
      <w:pPr>
        <w:jc w:val="both"/>
        <w:ind w:left="20" w:firstLine="647"/>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87" w:lineRule="exact"/>
        <w:rPr>
          <w:sz w:val="20"/>
          <w:szCs w:val="20"/>
          <w:color w:val="auto"/>
        </w:rPr>
      </w:pPr>
    </w:p>
    <w:p>
      <w:pPr>
        <w:jc w:val="both"/>
        <w:ind w:left="20" w:firstLine="647"/>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left="20" w:firstLine="647"/>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IFRS</w:t>
      </w:r>
      <w:r>
        <w:rPr>
          <w:rFonts w:ascii="Times New Roman" w:cs="Times New Roman" w:eastAsia="Times New Roman" w:hAnsi="Times New Roman"/>
          <w:sz w:val="21"/>
          <w:szCs w:val="21"/>
          <w:color w:val="auto"/>
        </w:rPr>
        <w:t>” means international financial reporting standards as adopted by the International Accounting Standards Board.</w:t>
      </w:r>
    </w:p>
    <w:p>
      <w:pPr>
        <w:spacing w:after="0" w:line="218" w:lineRule="exact"/>
        <w:rPr>
          <w:sz w:val="20"/>
          <w:szCs w:val="20"/>
          <w:color w:val="auto"/>
        </w:rPr>
      </w:pPr>
    </w:p>
    <w:p>
      <w:pPr>
        <w:jc w:val="both"/>
        <w:ind w:left="20" w:right="20" w:firstLine="647"/>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60"/>
          </w:cols>
          <w:pgMar w:left="400" w:top="1440" w:right="439" w:bottom="1440" w:gutter="0" w:footer="0" w:header="0"/>
        </w:sectPr>
      </w:pPr>
    </w:p>
    <w:bookmarkStart w:id="262" w:name="page263"/>
    <w:bookmarkEnd w:id="262"/>
    <w:p>
      <w:pPr>
        <w:spacing w:after="0" w:line="198" w:lineRule="exact"/>
        <w:rPr>
          <w:sz w:val="20"/>
          <w:szCs w:val="20"/>
          <w:color w:val="auto"/>
        </w:rPr>
      </w:pPr>
    </w:p>
    <w:p>
      <w:pPr>
        <w:jc w:val="both"/>
        <w:ind w:left="20"/>
        <w:spacing w:after="0" w:line="213" w:lineRule="auto"/>
        <w:rPr>
          <w:sz w:val="20"/>
          <w:szCs w:val="20"/>
          <w:color w:val="auto"/>
        </w:rPr>
      </w:pPr>
      <w:r>
        <w:rPr>
          <w:rFonts w:ascii="Times New Roman" w:cs="Times New Roman" w:eastAsia="Times New Roman" w:hAnsi="Times New Roman"/>
          <w:sz w:val="22"/>
          <w:szCs w:val="22"/>
          <w:color w:val="auto"/>
        </w:rPr>
        <w:t>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7" w:lineRule="exact"/>
        <w:rPr>
          <w:sz w:val="20"/>
          <w:szCs w:val="20"/>
          <w:color w:val="auto"/>
        </w:rPr>
      </w:pPr>
    </w:p>
    <w:p>
      <w:pPr>
        <w:jc w:val="both"/>
        <w:ind w:left="20" w:firstLine="647"/>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74" w:lineRule="exact"/>
        <w:rPr>
          <w:sz w:val="20"/>
          <w:szCs w:val="20"/>
          <w:color w:val="auto"/>
        </w:rPr>
      </w:pPr>
    </w:p>
    <w:p>
      <w:pPr>
        <w:jc w:val="both"/>
        <w:ind w:left="20" w:right="20" w:firstLine="64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85" w:lineRule="exact"/>
        <w:rPr>
          <w:sz w:val="20"/>
          <w:szCs w:val="20"/>
          <w:color w:val="auto"/>
        </w:rPr>
      </w:pPr>
    </w:p>
    <w:p>
      <w:pPr>
        <w:jc w:val="both"/>
        <w:ind w:left="20" w:right="20" w:firstLine="647"/>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1" w:lineRule="exact"/>
        <w:rPr>
          <w:sz w:val="20"/>
          <w:szCs w:val="20"/>
          <w:color w:val="auto"/>
        </w:rPr>
      </w:pPr>
    </w:p>
    <w:p>
      <w:pPr>
        <w:jc w:val="both"/>
        <w:ind w:left="20" w:firstLine="647"/>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60"/>
          </w:cols>
          <w:pgMar w:left="400" w:top="1440" w:right="4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Governmental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133" w:lineRule="exact"/>
        <w:rPr>
          <w:sz w:val="20"/>
          <w:szCs w:val="20"/>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unsuitable individuals and organizations have no role in gaming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designed to prevent cheating and fraudulent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responsible accounting practices and procedures;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controls over their financial practices, including establishing minimum procedures for internal fiscal affairs and the safeguarding of assets and revenues;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systems for reliable record keeping;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periodic reports with gaming regulators;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contracts and financial transactions are commercially reasonable, reflect fair market value and are arms-length transactions;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programs to promote responsible gaming.</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122"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and regulations under the implementing statutes;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enforce gaming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disciplinary sanctions for violations, including fines and penalties;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character and fitness of participants in gaming operations and make determinations regarding their suitability or qualification for licensure;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licenses for participation in gaming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review reports and information submitted by participants in gaming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transactions, such as acquisitions or change-of-control transactions of gaming industry participants, securities offerings and debt transactions engaged in by such participants;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collect fees and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 in the laws or regulations of a gaming jurisdiction could have a material adverse effect on our gaming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Suitability Determinations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Criteria used in determining whether to grant or renew a license to conduct gaming operations, while varying between jurisdictions, generally include consideration of factors such as:</w:t>
      </w:r>
    </w:p>
    <w:p>
      <w:pPr>
        <w:spacing w:after="0" w:line="129"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character, honesty and integrity of the applicant;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stability, integrity and responsibility of the applicant, including whether the operation is adequately capitalized in the state and exhibits the ability to maintain adequate insurance levels; the quality of the applicant’s casino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to be derived by the applicable state from the operation of the applicant’s casino;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applicant’s practices with respect to minority hiring and training;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competition and general impact on the community.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9" w:right="339" w:bottom="1440" w:gutter="0" w:footer="0" w:header="0"/>
        </w:sectPr>
      </w:pPr>
    </w:p>
    <w:bookmarkStart w:id="265" w:name="page266"/>
    <w:bookmarkEnd w:id="265"/>
    <w:p>
      <w:pPr>
        <w:jc w:val="both"/>
        <w:spacing w:after="0" w:line="254" w:lineRule="auto"/>
        <w:rPr>
          <w:sz w:val="20"/>
          <w:szCs w:val="20"/>
          <w:color w:val="auto"/>
        </w:rPr>
      </w:pPr>
      <w:r>
        <w:rPr>
          <w:rFonts w:ascii="Times New Roman" w:cs="Times New Roman" w:eastAsia="Times New Roman" w:hAnsi="Times New Roman"/>
          <w:sz w:val="18"/>
          <w:szCs w:val="18"/>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Violations of Gaming Laws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and Recordkeeping Requirements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Transactions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stockholders for the purpose of acquiring control of the registered corporation.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53" w:right="339" w:bottom="1440" w:gutter="0" w:footer="0" w:header="0"/>
        </w:sectPr>
      </w:pPr>
    </w:p>
    <w:bookmarkStart w:id="266" w:name="page267"/>
    <w:bookmarkEnd w:id="266"/>
    <w:p>
      <w:pPr>
        <w:jc w:val="both"/>
        <w:spacing w:after="0" w:line="258" w:lineRule="auto"/>
        <w:rPr>
          <w:sz w:val="20"/>
          <w:szCs w:val="20"/>
          <w:color w:val="auto"/>
        </w:rPr>
      </w:pPr>
      <w:r>
        <w:rPr>
          <w:rFonts w:ascii="Times New Roman" w:cs="Times New Roman" w:eastAsia="Times New Roman" w:hAnsi="Times New Roman"/>
          <w:sz w:val="18"/>
          <w:szCs w:val="18"/>
          <w:color w:val="auto"/>
        </w:rPr>
        <w:t>Because of regulatory restrictions, our ability to grant a security interest in any of our gaming assets is limited and subject to receipt of prior approval from gaming authorities. Further, a pledge of the stock of a subsidiary holding a gaming license and the foreclosure of such a pledge may be ineffective without the prior approval of gaming authorities in certain jurisdictions.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certain gaming authorities.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jurisdictions also require us to file a report with the gaming authority within a prescribed period of time following certain financial transactions and the offering of debt securities. Certain gaming authorities reserve the right to order such transactions rescinded.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w:t>
      </w:r>
    </w:p>
    <w:p>
      <w:pPr>
        <w:spacing w:after="0" w:line="108" w:lineRule="exact"/>
        <w:rPr>
          <w:sz w:val="20"/>
          <w:szCs w:val="20"/>
          <w:color w:val="auto"/>
        </w:rPr>
      </w:pPr>
    </w:p>
    <w:p>
      <w:pPr>
        <w:ind w:right="560"/>
        <w:spacing w:after="0" w:line="438" w:lineRule="auto"/>
        <w:rPr>
          <w:sz w:val="20"/>
          <w:szCs w:val="20"/>
          <w:color w:val="auto"/>
        </w:rPr>
      </w:pPr>
      <w:r>
        <w:rPr>
          <w:rFonts w:ascii="Times New Roman" w:cs="Times New Roman" w:eastAsia="Times New Roman" w:hAnsi="Times New Roman"/>
          <w:sz w:val="18"/>
          <w:szCs w:val="18"/>
          <w:color w:val="auto"/>
        </w:rPr>
        <w:t xml:space="preserve">Certain jurisdictions require that an independent audit committee oversee the functions of surveillance and internal audit departments at our casinos. </w:t>
      </w:r>
      <w:r>
        <w:rPr>
          <w:rFonts w:ascii="Times New Roman" w:cs="Times New Roman" w:eastAsia="Times New Roman" w:hAnsi="Times New Roman"/>
          <w:sz w:val="18"/>
          <w:szCs w:val="18"/>
          <w:b w:val="1"/>
          <w:bCs w:val="1"/>
          <w:i w:val="1"/>
          <w:iCs w:val="1"/>
          <w:color w:val="auto"/>
        </w:rPr>
        <w:t>License Fees and Gaming Taxes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22"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gaming revenues received;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and table games operated;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fees for customers boarding our riverboat casinos; and/or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time fees payable upon the initial receipt of license and fees in connection with the renewal of license.</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taxes specifically unique to gaming, we are required to pay all other applicable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jurisdictions apply specific conditions that impact our ability to conduct gaming and non-gaming operations. Examples include but are not limited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land-based casino in New Orleans operates under a casino operating contract (the “COC”) with the State of Louisiana by and through the Louisiana</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Gaming Control Board, which has been extended to 2054. Under the COC and Louisiana state law, our New Orleans casino is subject to restrictions on the number of hotel rooms, the amount of meeting space within the hotel and how we may market and advertise the rates we charge for rooms. In Iowa we have entered into agreements with non-profit organizations that hold the license to conduct gambling games. Similar conditions are applicable to subsidiaries in additional jurisdictions.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53"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i w:val="1"/>
          <w:iCs w:val="1"/>
          <w:color w:val="auto"/>
        </w:rPr>
        <w:t>Indian Gaming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and conditions of management contracts and the operation of casinos and all gaming on Indian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 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and Harrah’s Resort Southern California (Rincon) provide Class II gaming and, as limited by the tribal-state compacts, Class III gaming. Harrah’s Cherokee currently provides only Class III gaming.</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all necessary approvals and certifications to provide management and consulting services as required by state, federal and tribal authorities.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IGRA requires NIGC approval of management contracts for Class II and Class III gaming as well as the review of all agreements collateral to the management contracts. Management contracts which are not so approved are void.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contracts can be modified or canceled pursuant to an enforcement action taken by the NIGC based on a violation of the law or an issue affecting suitability.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the management company. The possession of valid licenses from the Ak-Chin Indian Community, the Eastern Band of Cherokee Indians and the Rincon San Luiseno Band of Indians, are ongoing conditions of our agreements with these tribes.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Riverboat Casinos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operational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Racetracks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standard bred harness racing at Harrah’s Hoosier Park in Anderson, Indiana, harness racing at Harrah’s Philadelphia in Chester, Pennsylvania, thoroughbred racing at Horseshoe Indianapolis Racing &amp; Casino in Shelbyville, Indiana, and live standard bred harness racing at Scioto Downs in the Columbus, Ohio area. Each of these facilities also offer pari-mutuel wagering and live wagering on races held at other facilities.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operate a mix of poker, slot, table games and video lottery terminals at our racetracks depending on the local regulatory environment. Generally, our gaming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9" w:right="339" w:bottom="1440" w:gutter="0" w:footer="0" w:header="0"/>
        </w:sectPr>
      </w:pPr>
    </w:p>
    <w:bookmarkStart w:id="268" w:name="page269"/>
    <w:bookmarkEnd w:id="268"/>
    <w:p>
      <w:pPr>
        <w:jc w:val="both"/>
        <w:spacing w:after="0" w:line="258" w:lineRule="auto"/>
        <w:rPr>
          <w:sz w:val="20"/>
          <w:szCs w:val="20"/>
          <w:color w:val="auto"/>
        </w:rPr>
      </w:pPr>
      <w:r>
        <w:rPr>
          <w:rFonts w:ascii="Times New Roman" w:cs="Times New Roman" w:eastAsia="Times New Roman" w:hAnsi="Times New Roman"/>
          <w:sz w:val="18"/>
          <w:szCs w:val="18"/>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Interactive &amp; Internet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Caesars Digital segment operates online sports betting and iGaming, including online poker, in various states where legalized. We have also entered into agreements with third parties for the use of the World Series of Poker brand on online gaming websites internationally and domestically. We are required to operate under the regulations and established licensing requirements for each state or international jurisdiction in which we operate. Failure to maintain compliance with these regulations could result in fines or the suspension and possible revocation of our license(s). We and our partners continue to monitor other domestic markets for points of entry.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gaming and other laws and regulations to which we are subject could change or could be interpreted differently in the future, or new laws and regulations could be enacted. For example, in 2018, the U.S. Department of Justice (the “DOJ”) reversed its previously- issued opinion published in 2011, which stated that interstate transmissions of wire communications that do not relate to a “sporting event or contest” fall outside the purview of the Wire Act of 1961 (the “Wire Act”). The DOJ’s updated opinion, which is the subject of ongoing litigation in federal court, stated instead that the Wire Act was not uniformly limited to gaming relating to sporting events or contests and that certain of its provisions apply to non-sports-related wagering activity. Any such material changes, new laws or regulations, or material differences in interpretations by courts or governmental authorities could adversely affect our business and operating results.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Sports Book Wagering &amp; Online Wagering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lowerLetter"/>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1)"/>
      <w:numFmt w:val="lowerLetter"/>
      <w:start w:val="1"/>
    </w:lvl>
  </w:abstractNum>
  <w:abstractNum w:abstractNumId="10">
    <w:nsid w:val="39EE015C"/>
    <w:multiLevelType w:val="hybridMultilevel"/>
    <w:lvl w:ilvl="0">
      <w:lvlJc w:val="left"/>
      <w:lvlText w:val="(%1)"/>
      <w:numFmt w:val="lowerLetter"/>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lvl w:ilvl="1">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1)"/>
      <w:numFmt w:val="lowerLetter"/>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1)"/>
      <w:numFmt w:val="lowerLetter"/>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1)"/>
      <w:numFmt w:val="lowerLetter"/>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1)"/>
      <w:numFmt w:val="lowerLetter"/>
      <w:start w:val="1"/>
    </w:lvl>
  </w:abstractNum>
  <w:abstractNum w:abstractNumId="25">
    <w:nsid w:val="6FC75AF8"/>
    <w:multiLevelType w:val="hybridMultilevel"/>
    <w:lvl w:ilvl="0">
      <w:lvlJc w:val="left"/>
      <w:lvlText w:val="(%1)"/>
      <w:numFmt w:val="lowerLetter"/>
      <w:start w:val="1"/>
    </w:lvl>
  </w:abstractNum>
  <w:abstractNum w:abstractNumId="26">
    <w:nsid w:val="6A5F7029"/>
    <w:multiLevelType w:val="hybridMultilevel"/>
    <w:lvl w:ilvl="0">
      <w:lvlJc w:val="left"/>
      <w:lvlText w:val="(%1)"/>
      <w:numFmt w:val="lowerLetter"/>
      <w:start w:val="1"/>
    </w:lvl>
  </w:abstractNum>
  <w:abstractNum w:abstractNumId="27">
    <w:nsid w:val="7D5E18F8"/>
    <w:multiLevelType w:val="hybridMultilevel"/>
    <w:lvl w:ilvl="0">
      <w:lvlJc w:val="left"/>
      <w:lvlText w:val="(%1)"/>
      <w:numFmt w:val="lowerLetter"/>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lvl w:ilvl="1">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decimal"/>
      <w:start w:val="1"/>
    </w:lvl>
  </w:abstractNum>
  <w:abstractNum w:abstractNumId="32">
    <w:nsid w:val="3FA62ACA"/>
    <w:multiLevelType w:val="hybridMultilevel"/>
    <w:lvl w:ilvl="0">
      <w:lvlJc w:val="left"/>
      <w:lvlText w:val="(%1)"/>
      <w:numFmt w:val="lowerLetter"/>
      <w:start w:val="1"/>
    </w:lvl>
  </w:abstractNum>
  <w:abstractNum w:abstractNumId="33">
    <w:nsid w:val="14FCE74E"/>
    <w:multiLevelType w:val="hybridMultilevel"/>
    <w:lvl w:ilvl="0">
      <w:lvlJc w:val="left"/>
      <w:lvlText w:val="(%1)"/>
      <w:numFmt w:val="lowerLetter"/>
      <w:start w:val="1"/>
    </w:lvl>
  </w:abstractNum>
  <w:abstractNum w:abstractNumId="34">
    <w:nsid w:val="6A3DD3E8"/>
    <w:multiLevelType w:val="hybridMultilevel"/>
    <w:lvl w:ilvl="0">
      <w:lvlJc w:val="left"/>
      <w:lvlText w:val="(%1)"/>
      <w:numFmt w:val="lowerLetter"/>
      <w:start w:val="1"/>
    </w:lvl>
  </w:abstractNum>
  <w:abstractNum w:abstractNumId="35">
    <w:nsid w:val="71C91298"/>
    <w:multiLevelType w:val="hybridMultilevel"/>
    <w:lvl w:ilvl="0">
      <w:lvlJc w:val="left"/>
      <w:lvlText w:val="(%1)"/>
      <w:numFmt w:val="lowerLetter"/>
      <w:start w:val="1"/>
    </w:lvl>
  </w:abstractNum>
  <w:abstractNum w:abstractNumId="36">
    <w:nsid w:val="9DAF632"/>
    <w:multiLevelType w:val="hybridMultilevel"/>
    <w:lvl w:ilvl="0">
      <w:lvlJc w:val="left"/>
      <w:lvlText w:val="(%1)"/>
      <w:numFmt w:val="lowerLetter"/>
      <w:start w:val="1"/>
    </w:lvl>
  </w:abstractNum>
  <w:abstractNum w:abstractNumId="37">
    <w:nsid w:val="53299938"/>
    <w:multiLevelType w:val="hybridMultilevel"/>
    <w:lvl w:ilvl="0">
      <w:lvlJc w:val="left"/>
      <w:lvlText w:val="(%1)"/>
      <w:numFmt w:val="lowerLetter"/>
      <w:start w:val="1"/>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Letter"/>
      <w:start w:val="1"/>
    </w:lvl>
  </w:abstractNum>
  <w:abstractNum w:abstractNumId="40">
    <w:nsid w:val="1D545C4D"/>
    <w:multiLevelType w:val="hybridMultilevel"/>
    <w:lvl w:ilvl="0">
      <w:lvlJc w:val="left"/>
      <w:lvlText w:val="%1."/>
      <w:numFmt w:val="lowerRoman"/>
      <w:start w:val="1"/>
    </w:lvl>
  </w:abstractNum>
  <w:abstractNum w:abstractNumId="41">
    <w:nsid w:val="59ADEA3D"/>
    <w:multiLevelType w:val="hybridMultilevel"/>
    <w:lvl w:ilvl="0">
      <w:lvlJc w:val="left"/>
      <w:lvlText w:val="(%1)"/>
      <w:numFmt w:val="lowerLetter"/>
      <w:start w:val="1"/>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lowerLetter"/>
      <w:start w:val="1"/>
    </w:lvl>
    <w:lvl w:ilvl="1">
      <w:lvlJc w:val="left"/>
      <w:lvlText w:val="•"/>
      <w:numFmt w:val="bullet"/>
      <w:start w:val="1"/>
    </w:lvl>
  </w:abstractNum>
  <w:abstractNum w:abstractNumId="44">
    <w:nsid w:val="1D9F6E5F"/>
    <w:multiLevelType w:val="hybridMultilevel"/>
    <w:lvl w:ilvl="0">
      <w:lvlJc w:val="left"/>
      <w:lvlText w:val="(%1)"/>
      <w:numFmt w:val="lowerLetter"/>
      <w:start w:val="1"/>
    </w:lvl>
  </w:abstractNum>
  <w:abstractNum w:abstractNumId="45">
    <w:nsid w:val="97E1B4E"/>
    <w:multiLevelType w:val="hybridMultilevel"/>
    <w:lvl w:ilvl="0">
      <w:lvlJc w:val="left"/>
      <w:lvlText w:val="(%1)"/>
      <w:numFmt w:val="lowerLetter"/>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1."/>
      <w:numFmt w:val="decimal"/>
      <w:start w:val="1"/>
    </w:lvl>
  </w:abstractNum>
  <w:abstractNum w:abstractNumId="51">
    <w:nsid w:val="23D86AAC"/>
    <w:multiLevelType w:val="hybridMultilevel"/>
    <w:lvl w:ilvl="0">
      <w:lvlJc w:val="left"/>
      <w:lvlText w:val="%1."/>
      <w:numFmt w:val="decimal"/>
      <w:start w:val="3"/>
    </w:lvl>
  </w:abstractNum>
  <w:abstractNum w:abstractNumId="52">
    <w:nsid w:val="45E6D486"/>
    <w:multiLevelType w:val="hybridMultilevel"/>
    <w:lvl w:ilvl="0">
      <w:lvlJc w:val="left"/>
      <w:lvlText w:val="%1."/>
      <w:numFmt w:val="decimal"/>
      <w:start w:val="1"/>
    </w:lvl>
  </w:abstractNum>
  <w:abstractNum w:abstractNumId="53">
    <w:nsid w:val="5C10FE21"/>
    <w:multiLevelType w:val="hybridMultilevel"/>
    <w:lvl w:ilvl="0">
      <w:lvlJc w:val="left"/>
      <w:lvlText w:val="%1."/>
      <w:numFmt w:val="decimal"/>
      <w:start w:val="3"/>
    </w:lvl>
  </w:abstractNum>
  <w:abstractNum w:abstractNumId="54">
    <w:nsid w:val="E7FFA2B"/>
    <w:multiLevelType w:val="hybridMultilevel"/>
    <w:lvl w:ilvl="0">
      <w:lvlJc w:val="left"/>
      <w:lvlText w:val="%1."/>
      <w:numFmt w:val="decimal"/>
      <w:start w:val="1"/>
    </w:lvl>
  </w:abstractNum>
  <w:abstractNum w:abstractNumId="55">
    <w:nsid w:val="3C5991AA"/>
    <w:multiLevelType w:val="hybridMultilevel"/>
    <w:lvl w:ilvl="0">
      <w:lvlJc w:val="left"/>
      <w:lvlText w:val="%1."/>
      <w:numFmt w:val="decimal"/>
      <w:start w:val="3"/>
    </w:lvl>
  </w:abstractNum>
  <w:abstractNum w:abstractNumId="56">
    <w:nsid w:val="4BD8591A"/>
    <w:multiLevelType w:val="hybridMultilevel"/>
    <w:lvl w:ilvl="0">
      <w:lvlJc w:val="left"/>
      <w:lvlText w:val="%1."/>
      <w:numFmt w:val="decimal"/>
      <w:start w:val="1"/>
    </w:lvl>
  </w:abstractNum>
  <w:abstractNum w:abstractNumId="57">
    <w:nsid w:val="78DF6A55"/>
    <w:multiLevelType w:val="hybridMultilevel"/>
    <w:lvl w:ilvl="0">
      <w:lvlJc w:val="left"/>
      <w:lvlText w:val="%1."/>
      <w:numFmt w:val="decimal"/>
      <w:start w:val="3"/>
    </w:lvl>
  </w:abstractNum>
  <w:abstractNum w:abstractNumId="58">
    <w:nsid w:val="39B7AAA2"/>
    <w:multiLevelType w:val="hybridMultilevel"/>
    <w:lvl w:ilvl="0">
      <w:lvlJc w:val="left"/>
      <w:lvlText w:val="(%1)"/>
      <w:numFmt w:val="lowerLetter"/>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1)"/>
      <w:numFmt w:val="lowerLetter"/>
      <w:start w:val="1"/>
    </w:lvl>
  </w:abstractNum>
  <w:abstractNum w:abstractNumId="61">
    <w:nsid w:val="379E21B5"/>
    <w:multiLevelType w:val="hybridMultilevel"/>
    <w:lvl w:ilvl="0">
      <w:lvlJc w:val="left"/>
      <w:lvlText w:val="%1"/>
      <w:numFmt w:val="lowerLetter"/>
      <w:start w:val="1"/>
    </w:lvl>
    <w:lvl w:ilvl="1">
      <w:lvlJc w:val="left"/>
      <w:lvlText w:val="(%2)"/>
      <w:numFmt w:val="lowerLetter"/>
      <w:start w:val="5"/>
    </w:lvl>
  </w:abstractNum>
  <w:abstractNum w:abstractNumId="62">
    <w:nsid w:val="69E373"/>
    <w:multiLevelType w:val="hybridMultilevel"/>
    <w:lvl w:ilvl="0">
      <w:lvlJc w:val="left"/>
      <w:lvlText w:val="(%1)"/>
      <w:numFmt w:val="lowerLetter"/>
      <w:start w:val="6"/>
    </w:lvl>
    <w:lvl w:ilvl="1">
      <w:lvlJc w:val="left"/>
      <w:lvlText w:val="(%2)"/>
      <w:numFmt w:val="lowerLetter"/>
      <w:start w:val="7"/>
    </w:lvl>
  </w:abstractNum>
  <w:abstractNum w:abstractNumId="63">
    <w:nsid w:val="2C27173B"/>
    <w:multiLevelType w:val="hybridMultilevel"/>
    <w:lvl w:ilvl="0">
      <w:lvlJc w:val="left"/>
      <w:lvlText w:val="(%1)"/>
      <w:numFmt w:val="lowerLetter"/>
      <w:start w:val="1"/>
    </w:lvl>
  </w:abstractNum>
  <w:abstractNum w:abstractNumId="64">
    <w:nsid w:val="4C9B0904"/>
    <w:multiLevelType w:val="hybridMultilevel"/>
    <w:lvl w:ilvl="0">
      <w:lvlJc w:val="left"/>
      <w:lvlText w:val="%1"/>
      <w:numFmt w:val="lowerLetter"/>
      <w:start w:val="1"/>
    </w:lvl>
    <w:lvl w:ilvl="1">
      <w:lvlJc w:val="left"/>
      <w:lvlText w:val="(%2)"/>
      <w:numFmt w:val="lowerLetter"/>
      <w:start w:val="3"/>
    </w:lvl>
  </w:abstractNum>
  <w:abstractNum w:abstractNumId="65">
    <w:nsid w:val="6AA7B75C"/>
    <w:multiLevelType w:val="hybridMultilevel"/>
    <w:lvl w:ilvl="0">
      <w:lvlJc w:val="left"/>
      <w:lvlText w:val="(%1)"/>
      <w:numFmt w:val="lowerLetter"/>
      <w:start w:val="5"/>
    </w:lvl>
    <w:lvl w:ilvl="1">
      <w:lvlJc w:val="left"/>
      <w:lvlText w:val="(%2)"/>
      <w:numFmt w:val="lowerLetter"/>
      <w:start w:val="6"/>
    </w:lvl>
  </w:abstractNum>
  <w:abstractNum w:abstractNumId="66">
    <w:nsid w:val="1DF029D3"/>
    <w:multiLevelType w:val="hybridMultilevel"/>
    <w:lvl w:ilvl="0">
      <w:lvlJc w:val="left"/>
      <w:lvlText w:val="(%1)"/>
      <w:numFmt w:val="lowerLetter"/>
      <w:start w:val="1"/>
    </w:lvl>
  </w:abstractNum>
  <w:abstractNum w:abstractNumId="67">
    <w:nsid w:val="5675FF36"/>
    <w:multiLevelType w:val="hybridMultilevel"/>
    <w:lvl w:ilvl="0">
      <w:lvlJc w:val="left"/>
      <w:lvlText w:val="%1"/>
      <w:numFmt w:val="lowerLetter"/>
      <w:start w:val="1"/>
    </w:lvl>
    <w:lvl w:ilvl="1">
      <w:lvlJc w:val="left"/>
      <w:lvlText w:val="(%2)"/>
      <w:numFmt w:val="lowerLetter"/>
      <w:start w:val="3"/>
    </w:lvl>
  </w:abstractNum>
  <w:abstractNum w:abstractNumId="68">
    <w:nsid w:val="3DD15094"/>
    <w:multiLevelType w:val="hybridMultilevel"/>
    <w:lvl w:ilvl="0">
      <w:lvlJc w:val="left"/>
      <w:lvlText w:val="(%1)"/>
      <w:numFmt w:val="lowerLetter"/>
      <w:start w:val="5"/>
    </w:lvl>
    <w:lvl w:ilvl="1">
      <w:lvlJc w:val="left"/>
      <w:lvlText w:val="(%2)"/>
      <w:numFmt w:val="lowerLetter"/>
      <w:start w:val="6"/>
    </w:lvl>
  </w:abstractNum>
  <w:abstractNum w:abstractNumId="69">
    <w:nsid w:val="3DB012B3"/>
    <w:multiLevelType w:val="hybridMultilevel"/>
    <w:lvl w:ilvl="0">
      <w:lvlJc w:val="left"/>
      <w:lvlText w:val="(%1)"/>
      <w:numFmt w:val="lowerLetter"/>
      <w:start w:val="1"/>
    </w:lvl>
  </w:abstractNum>
  <w:abstractNum w:abstractNumId="70">
    <w:nsid w:val="2708C9AF"/>
    <w:multiLevelType w:val="hybridMultilevel"/>
    <w:lvl w:ilvl="0">
      <w:lvlJc w:val="left"/>
      <w:lvlText w:val="%1."/>
      <w:numFmt w:val="lowerRoman"/>
      <w:start w:val="1"/>
    </w:lvl>
  </w:abstractNum>
  <w:abstractNum w:abstractNumId="71">
    <w:nsid w:val="5B25ACE2"/>
    <w:multiLevelType w:val="hybridMultilevel"/>
    <w:lvl w:ilvl="0">
      <w:lvlJc w:val="left"/>
      <w:lvlText w:val="%1."/>
      <w:numFmt w:val="lowerRoman"/>
      <w:start w:val="7"/>
    </w:lvl>
  </w:abstractNum>
  <w:abstractNum w:abstractNumId="72">
    <w:nsid w:val="175DFCF0"/>
    <w:multiLevelType w:val="hybridMultilevel"/>
    <w:lvl w:ilvl="0">
      <w:lvlJc w:val="left"/>
      <w:lvlText w:val="(%1)"/>
      <w:numFmt w:val="lowerLetter"/>
      <w:start w:val="4"/>
    </w:lvl>
  </w:abstractNum>
  <w:abstractNum w:abstractNumId="73">
    <w:nsid w:val="4F97E3E4"/>
    <w:multiLevelType w:val="hybridMultilevel"/>
    <w:lvl w:ilvl="0">
      <w:lvlJc w:val="left"/>
      <w:lvlText w:val="%1."/>
      <w:numFmt w:val="lowerRoman"/>
      <w:start w:val="1"/>
    </w:lvl>
  </w:abstractNum>
  <w:abstractNum w:abstractNumId="74">
    <w:nsid w:val="53B0A9E"/>
    <w:multiLevelType w:val="hybridMultilevel"/>
    <w:lvl w:ilvl="0">
      <w:lvlJc w:val="left"/>
      <w:lvlText w:val="%1."/>
      <w:numFmt w:val="lowerRoman"/>
      <w:start w:val="2"/>
    </w:lvl>
  </w:abstractNum>
  <w:abstractNum w:abstractNumId="75">
    <w:nsid w:val="34FD6B4F"/>
    <w:multiLevelType w:val="hybridMultilevel"/>
    <w:lvl w:ilvl="0">
      <w:lvlJc w:val="left"/>
      <w:lvlText w:val="(%1)"/>
      <w:numFmt w:val="lowerLetter"/>
      <w:start w:val="5"/>
    </w:lvl>
  </w:abstractNum>
  <w:abstractNum w:abstractNumId="76">
    <w:nsid w:val="5915FF32"/>
    <w:multiLevelType w:val="hybridMultilevel"/>
    <w:lvl w:ilvl="0">
      <w:lvlJc w:val="left"/>
      <w:lvlText w:val="%1."/>
      <w:numFmt w:val="lowerRoman"/>
      <w:start w:val="1"/>
    </w:lvl>
  </w:abstractNum>
  <w:abstractNum w:abstractNumId="77">
    <w:nsid w:val="56438D15"/>
    <w:multiLevelType w:val="hybridMultilevel"/>
    <w:lvl w:ilvl="0">
      <w:lvlJc w:val="left"/>
      <w:lvlText w:val="%1."/>
      <w:numFmt w:val="lowerRoman"/>
      <w:start w:val="6"/>
    </w:lvl>
  </w:abstractNum>
  <w:abstractNum w:abstractNumId="78">
    <w:nsid w:val="519E3149"/>
    <w:multiLevelType w:val="hybridMultilevel"/>
    <w:lvl w:ilvl="0">
      <w:lvlJc w:val="left"/>
      <w:lvlText w:val="%1"/>
      <w:numFmt w:val="upperLetter"/>
      <w:start w:val="1"/>
    </w:lvl>
    <w:lvl w:ilvl="1">
      <w:lvlJc w:val="left"/>
      <w:lvlText w:val="(%2)"/>
      <w:numFmt w:val="lowerLetter"/>
      <w:start w:val="10"/>
    </w:lvl>
  </w:abstractNum>
  <w:abstractNum w:abstractNumId="79">
    <w:nsid w:val="2C6E4AFD"/>
    <w:multiLevelType w:val="hybridMultilevel"/>
    <w:lvl w:ilvl="0">
      <w:lvlJc w:val="left"/>
      <w:lvlText w:val="(%1)"/>
      <w:numFmt w:val="upperLetter"/>
      <w:start w:val="2"/>
    </w:lvl>
    <w:lvl w:ilvl="1">
      <w:lvlJc w:val="left"/>
      <w:lvlText w:val="(%2)"/>
      <w:numFmt w:val="lowerLetter"/>
      <w:start w:val="13"/>
    </w:lvl>
  </w:abstractNum>
  <w:abstractNum w:abstractNumId="80">
    <w:nsid w:val="17A1B582"/>
    <w:multiLevelType w:val="hybridMultilevel"/>
    <w:lvl w:ilvl="0">
      <w:lvlJc w:val="left"/>
      <w:lvlText w:val="(%1)"/>
      <w:numFmt w:val="lowerLetter"/>
      <w:start w:val="16"/>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1"/>
    </w:lvl>
  </w:abstractNum>
  <w:abstractNum w:abstractNumId="83">
    <w:nsid w:val="5D888A08"/>
    <w:multiLevelType w:val="hybridMultilevel"/>
    <w:lvl w:ilvl="0">
      <w:lvlJc w:val="left"/>
      <w:lvlText w:val="%1."/>
      <w:numFmt w:val="lowerRoman"/>
      <w:start w:val="1"/>
    </w:lvl>
  </w:abstractNum>
  <w:abstractNum w:abstractNumId="84">
    <w:nsid w:val="2A082C70"/>
    <w:multiLevelType w:val="hybridMultilevel"/>
    <w:lvl w:ilvl="0">
      <w:lvlJc w:val="left"/>
      <w:lvlText w:val="(%1)"/>
      <w:numFmt w:val="lowerLetter"/>
      <w:start w:val="2"/>
    </w:lvl>
  </w:abstractNum>
  <w:abstractNum w:abstractNumId="85">
    <w:nsid w:val="5EC6AFD4"/>
    <w:multiLevelType w:val="hybridMultilevel"/>
    <w:lvl w:ilvl="0">
      <w:lvlJc w:val="left"/>
      <w:lvlText w:val="%1."/>
      <w:numFmt w:val="lowerRoman"/>
      <w:start w:val="1"/>
    </w:lvl>
  </w:abstractNum>
  <w:abstractNum w:abstractNumId="86">
    <w:nsid w:val="19E21BB2"/>
    <w:multiLevelType w:val="hybridMultilevel"/>
    <w:lvl w:ilvl="0">
      <w:lvlJc w:val="left"/>
      <w:lvlText w:val="(%1)"/>
      <w:numFmt w:val="lowerLetter"/>
      <w:start w:val="3"/>
    </w:lvl>
  </w:abstractNum>
  <w:abstractNum w:abstractNumId="87">
    <w:nsid w:val="75E0858A"/>
    <w:multiLevelType w:val="hybridMultilevel"/>
    <w:lvl w:ilvl="0">
      <w:lvlJc w:val="left"/>
      <w:lvlText w:val="%1."/>
      <w:numFmt w:val="lowerRoman"/>
      <w:start w:val="1"/>
    </w:lvl>
  </w:abstractNum>
  <w:abstractNum w:abstractNumId="88">
    <w:nsid w:val="57A61A29"/>
    <w:multiLevelType w:val="hybridMultilevel"/>
    <w:lvl w:ilvl="0">
      <w:lvlJc w:val="left"/>
      <w:lvlText w:val="%1."/>
      <w:numFmt w:val="lowerRoman"/>
      <w:start w:val="3"/>
    </w:lvl>
  </w:abstractNum>
  <w:abstractNum w:abstractNumId="89">
    <w:nsid w:val="5399C654"/>
    <w:multiLevelType w:val="hybridMultilevel"/>
    <w:lvl w:ilvl="0">
      <w:lvlJc w:val="left"/>
      <w:lvlText w:val="(%1)"/>
      <w:numFmt w:val="lowerLetter"/>
      <w:start w:val="5"/>
    </w:lvl>
  </w:abstractNum>
  <w:abstractNum w:abstractNumId="90">
    <w:nsid w:val="20EE1348"/>
    <w:multiLevelType w:val="hybridMultilevel"/>
    <w:lvl w:ilvl="0">
      <w:lvlJc w:val="left"/>
      <w:lvlText w:val="%1."/>
      <w:numFmt w:val="lowerRoman"/>
      <w:start w:val="1"/>
    </w:lvl>
  </w:abstractNum>
  <w:abstractNum w:abstractNumId="91">
    <w:nsid w:val="4427069A"/>
    <w:multiLevelType w:val="hybridMultilevel"/>
    <w:lvl w:ilvl="0">
      <w:lvlJc w:val="left"/>
      <w:lvlText w:val="%1."/>
      <w:numFmt w:val="lowerRoman"/>
      <w:start w:val="4"/>
    </w:lvl>
  </w:abstractNum>
  <w:abstractNum w:abstractNumId="92">
    <w:nsid w:val="B37E80A"/>
    <w:multiLevelType w:val="hybridMultilevel"/>
    <w:lvl w:ilvl="0">
      <w:lvlJc w:val="left"/>
      <w:lvlText w:val="(%1)"/>
      <w:numFmt w:val="lowerLetter"/>
      <w:start w:val="6"/>
    </w:lvl>
  </w:abstractNum>
  <w:abstractNum w:abstractNumId="93">
    <w:nsid w:val="2157F6BC"/>
    <w:multiLevelType w:val="hybridMultilevel"/>
    <w:lvl w:ilvl="0">
      <w:lvlJc w:val="left"/>
      <w:lvlText w:val="(%1)"/>
      <w:numFmt w:val="lowerLetter"/>
      <w:start w:val="8"/>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lowerLetter"/>
      <w:start w:val="3"/>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1"/>
    </w:lvl>
  </w:abstractNum>
  <w:abstractNum w:abstractNumId="98">
    <w:nsid w:val="2E48F044"/>
    <w:multiLevelType w:val="hybridMultilevel"/>
    <w:lvl w:ilvl="0">
      <w:lvlJc w:val="left"/>
      <w:lvlText w:val="(%1)"/>
      <w:numFmt w:val="lowerLetter"/>
      <w:start w:val="1"/>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2"/>
    </w:lvl>
  </w:abstractNum>
  <w:abstractNum w:abstractNumId="101">
    <w:nsid w:val="5551B9F3"/>
    <w:multiLevelType w:val="hybridMultilevel"/>
    <w:lvl w:ilvl="0">
      <w:lvlJc w:val="left"/>
      <w:lvlText w:val="(%1)"/>
      <w:numFmt w:val="decimal"/>
      <w:start w:val="1"/>
    </w:lvl>
  </w:abstractNum>
  <w:abstractNum w:abstractNumId="102">
    <w:nsid w:val="24F6AB8E"/>
    <w:multiLevelType w:val="hybridMultilevel"/>
    <w:lvl w:ilvl="0">
      <w:lvlJc w:val="left"/>
      <w:lvlText w:val="%1."/>
      <w:numFmt w:val="upperLetter"/>
      <w:start w:val="1"/>
    </w:lvl>
  </w:abstractNum>
  <w:abstractNum w:abstractNumId="103">
    <w:nsid w:val="634C574C"/>
    <w:multiLevelType w:val="hybridMultilevel"/>
    <w:lvl w:ilvl="0">
      <w:lvlJc w:val="left"/>
      <w:lvlText w:val="%1."/>
      <w:numFmt w:val="upperLetter"/>
      <w:start w:val="2"/>
    </w:lvl>
  </w:abstractNum>
  <w:abstractNum w:abstractNumId="104">
    <w:nsid w:val="24E99DD7"/>
    <w:multiLevelType w:val="hybridMultilevel"/>
    <w:lvl w:ilvl="0">
      <w:lvlJc w:val="left"/>
      <w:lvlText w:val="o"/>
      <w:numFmt w:val="bullet"/>
      <w:start w:val="1"/>
    </w:lvl>
  </w:abstractNum>
  <w:abstractNum w:abstractNumId="105">
    <w:nsid w:val="2A31B62D"/>
    <w:multiLevelType w:val="hybridMultilevel"/>
    <w:lvl w:ilvl="0">
      <w:lvlJc w:val="left"/>
      <w:lvlText w:val="%1."/>
      <w:numFmt w:val="upperLetter"/>
      <w:start w:val="3"/>
    </w:lvl>
  </w:abstractNum>
  <w:abstractNum w:abstractNumId="106">
    <w:nsid w:val="1849C29B"/>
    <w:multiLevelType w:val="hybridMultilevel"/>
    <w:lvl w:ilvl="0">
      <w:lvlJc w:val="left"/>
      <w:lvlText w:val="o"/>
      <w:numFmt w:val="bullet"/>
      <w:start w:val="1"/>
    </w:lvl>
  </w:abstractNum>
  <w:abstractNum w:abstractNumId="107">
    <w:nsid w:val="7DFF9D09"/>
    <w:multiLevelType w:val="hybridMultilevel"/>
    <w:lvl w:ilvl="0">
      <w:lvlJc w:val="left"/>
      <w:lvlText w:val="%1."/>
      <w:numFmt w:val="upperLetter"/>
      <w:start w:val="3"/>
    </w:lvl>
    <w:lvl w:ilvl="1">
      <w:lvlJc w:val="left"/>
      <w:lvlText w:val="o"/>
      <w:numFmt w:val="bullet"/>
      <w:start w:val="1"/>
    </w:lvl>
  </w:abstractNum>
  <w:abstractNum w:abstractNumId="108">
    <w:nsid w:val="754342"/>
    <w:multiLevelType w:val="hybridMultilevel"/>
    <w:lvl w:ilvl="0">
      <w:lvlJc w:val="left"/>
      <w:lvlText w:val="%1."/>
      <w:numFmt w:val="upperLetter"/>
      <w:start w:val="5"/>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1."/>
      <w:numFmt w:val="upperLetter"/>
      <w:start w:val="6"/>
    </w:lvl>
  </w:abstractNum>
  <w:abstractNum w:abstractNumId="112">
    <w:nsid w:val="37DF2233"/>
    <w:multiLevelType w:val="hybridMultilevel"/>
    <w:lvl w:ilvl="0">
      <w:lvlJc w:val="left"/>
      <w:lvlText w:val="%1."/>
      <w:numFmt w:val="upperLetter"/>
      <w:start w:val="7"/>
    </w:lvl>
    <w:lvl w:ilvl="1">
      <w:lvlJc w:val="left"/>
      <w:lvlText w:val="•"/>
      <w:numFmt w:val="bullet"/>
      <w:start w:val="1"/>
    </w:lvl>
  </w:abstractNum>
  <w:abstractNum w:abstractNumId="113">
    <w:nsid w:val="7AB49DAF"/>
    <w:multiLevelType w:val="hybridMultilevel"/>
    <w:lvl w:ilvl="0">
      <w:lvlJc w:val="left"/>
      <w:lvlText w:val="%1."/>
      <w:numFmt w:val="upperLetter"/>
      <w:start w:val="1"/>
    </w:lvl>
  </w:abstractNum>
  <w:abstractNum w:abstractNumId="114">
    <w:nsid w:val="759F82CD"/>
    <w:multiLevelType w:val="hybridMultilevel"/>
    <w:lvl w:ilvl="0">
      <w:lvlJc w:val="left"/>
      <w:lvlText w:val="%1."/>
      <w:numFmt w:val="upperLetter"/>
      <w:start w:val="2"/>
    </w:lvl>
  </w:abstractNum>
  <w:abstractNum w:abstractNumId="115">
    <w:nsid w:val="61E74EA3"/>
    <w:multiLevelType w:val="hybridMultilevel"/>
    <w:lvl w:ilvl="0">
      <w:lvlJc w:val="left"/>
      <w:lvlText w:val="%1."/>
      <w:numFmt w:val="upperLetter"/>
      <w:start w:val="3"/>
    </w:lvl>
  </w:abstractNum>
  <w:abstractNum w:abstractNumId="116">
    <w:nsid w:val="597B4D84"/>
    <w:multiLevelType w:val="hybridMultilevel"/>
    <w:lvl w:ilvl="0">
      <w:lvlJc w:val="left"/>
      <w:lvlText w:val="%1."/>
      <w:numFmt w:val="upperLetter"/>
      <w:start w:val="4"/>
    </w:lvl>
  </w:abstractNum>
  <w:abstractNum w:abstractNumId="117">
    <w:nsid w:val="F819E7F"/>
    <w:multiLevelType w:val="hybridMultilevel"/>
    <w:lvl w:ilvl="0">
      <w:lvlJc w:val="left"/>
      <w:lvlText w:val="%1."/>
      <w:numFmt w:val="upperLetter"/>
      <w:start w:val="5"/>
    </w:lvl>
  </w:abstractNum>
  <w:abstractNum w:abstractNumId="118">
    <w:nsid w:val="57C7D42D"/>
    <w:multiLevelType w:val="hybridMultilevel"/>
    <w:lvl w:ilvl="0">
      <w:lvlJc w:val="left"/>
      <w:lvlText w:val="%1."/>
      <w:numFmt w:val="upperLetter"/>
      <w:start w:val="6"/>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1."/>
      <w:numFmt w:val="upperLetter"/>
      <w:start w:val="9"/>
    </w:lvl>
  </w:abstractNum>
  <w:abstractNum w:abstractNumId="121">
    <w:nsid w:val="78B5E776"/>
    <w:multiLevelType w:val="hybridMultilevel"/>
    <w:lvl w:ilvl="0">
      <w:lvlJc w:val="left"/>
      <w:lvlText w:val="%1."/>
      <w:numFmt w:val="upperLetter"/>
      <w:start w:val="35"/>
    </w:lvl>
  </w:abstractNum>
  <w:abstractNum w:abstractNumId="122">
    <w:nsid w:val="75486E47"/>
    <w:multiLevelType w:val="hybridMultilevel"/>
    <w:lvl w:ilvl="0">
      <w:lvlJc w:val="left"/>
      <w:lvlText w:val="%1."/>
      <w:numFmt w:val="upperLetter"/>
      <w:start w:val="1"/>
    </w:lvl>
  </w:abstractNum>
  <w:abstractNum w:abstractNumId="123">
    <w:nsid w:val="6E534CDE"/>
    <w:multiLevelType w:val="hybridMultilevel"/>
    <w:lvl w:ilvl="0">
      <w:lvlJc w:val="left"/>
      <w:lvlText w:val="%1."/>
      <w:numFmt w:val="upperLetter"/>
      <w:start w:val="2"/>
    </w:lvl>
  </w:abstractNum>
  <w:abstractNum w:abstractNumId="124">
    <w:nsid w:val="1A0DDE32"/>
    <w:multiLevelType w:val="hybridMultilevel"/>
    <w:lvl w:ilvl="0">
      <w:lvlJc w:val="left"/>
      <w:lvlText w:val="%1."/>
      <w:numFmt w:val="upperLetter"/>
      <w:start w:val="3"/>
    </w:lvl>
  </w:abstractNum>
  <w:abstractNum w:abstractNumId="125">
    <w:nsid w:val="65968C1C"/>
    <w:multiLevelType w:val="hybridMultilevel"/>
    <w:lvl w:ilvl="0">
      <w:lvlJc w:val="left"/>
      <w:lvlText w:val="(%1)"/>
      <w:numFmt w:val="lowerRoman"/>
      <w:start w:val="1"/>
    </w:lvl>
  </w:abstractNum>
  <w:abstractNum w:abstractNumId="126">
    <w:nsid w:val="46263DEC"/>
    <w:multiLevelType w:val="hybridMultilevel"/>
    <w:lvl w:ilvl="0">
      <w:lvlJc w:val="left"/>
      <w:lvlText w:val="%1."/>
      <w:numFmt w:val="upperLetter"/>
      <w:start w:val="4"/>
    </w:lvl>
  </w:abstractNum>
  <w:abstractNum w:abstractNumId="127">
    <w:nsid w:val="260D8C4A"/>
    <w:multiLevelType w:val="hybridMultilevel"/>
    <w:lvl w:ilvl="0">
      <w:lvlJc w:val="left"/>
      <w:lvlText w:val="%1."/>
      <w:numFmt w:val="decimal"/>
      <w:start w:val="1"/>
    </w:lvl>
  </w:abstractNum>
  <w:abstractNum w:abstractNumId="128">
    <w:nsid w:val="73D4D3C4"/>
    <w:multiLevelType w:val="hybridMultilevel"/>
    <w:lvl w:ilvl="0">
      <w:lvlJc w:val="left"/>
      <w:lvlText w:val="1"/>
      <w:numFmt w:val="bullet"/>
      <w:start w:val="1"/>
    </w:lvl>
  </w:abstractNum>
  <w:abstractNum w:abstractNumId="129">
    <w:nsid w:val="746F2E30"/>
    <w:multiLevelType w:val="hybridMultilevel"/>
    <w:lvl w:ilvl="0">
      <w:lvlJc w:val="left"/>
      <w:lvlText w:val="%1."/>
      <w:numFmt w:val="upperLetter"/>
      <w:start w:val="5"/>
    </w:lvl>
  </w:abstractNum>
  <w:abstractNum w:abstractNumId="130">
    <w:nsid w:val="6FDE8AF6"/>
    <w:multiLevelType w:val="hybridMultilevel"/>
    <w:lvl w:ilvl="0">
      <w:lvlJc w:val="left"/>
      <w:lvlText w:val="%1."/>
      <w:numFmt w:val="upperLetter"/>
      <w:start w:val="6"/>
    </w:lvl>
  </w:abstractNum>
  <w:abstractNum w:abstractNumId="131">
    <w:nsid w:val="3FC32E20"/>
    <w:multiLevelType w:val="hybridMultilevel"/>
    <w:lvl w:ilvl="0">
      <w:lvlJc w:val="left"/>
      <w:lvlText w:val="%1."/>
      <w:numFmt w:val="upperLetter"/>
      <w:start w:val="61"/>
    </w:lvl>
  </w:abstractNum>
  <w:abstractNum w:abstractNumId="132">
    <w:nsid w:val="49C0E823"/>
    <w:multiLevelType w:val="hybridMultilevel"/>
    <w:lvl w:ilvl="0">
      <w:lvlJc w:val="left"/>
      <w:lvlText w:val="o"/>
      <w:numFmt w:val="bullet"/>
      <w:start w:val="1"/>
    </w:lvl>
  </w:abstractNum>
  <w:abstractNum w:abstractNumId="133">
    <w:nsid w:val="14D53685"/>
    <w:multiLevelType w:val="hybridMultilevel"/>
    <w:lvl w:ilvl="0">
      <w:lvlJc w:val="left"/>
      <w:lvlText w:val="%1."/>
      <w:numFmt w:val="upperLetter"/>
      <w:start w:val="22"/>
    </w:lvl>
  </w:abstractNum>
  <w:abstractNum w:abstractNumId="134">
    <w:nsid w:val="230F856C"/>
    <w:multiLevelType w:val="hybridMultilevel"/>
    <w:lvl w:ilvl="0">
      <w:lvlJc w:val="left"/>
      <w:lvlText w:val="(%1)"/>
      <w:numFmt w:val="decimal"/>
      <w:start w:val="1"/>
    </w:lvl>
  </w:abstractNum>
  <w:abstractNum w:abstractNumId="135">
    <w:nsid w:val="6EAA85FB"/>
    <w:multiLevelType w:val="hybridMultilevel"/>
    <w:lvl w:ilvl="0">
      <w:lvlJc w:val="left"/>
      <w:lvlText w:val="(%1)"/>
      <w:numFmt w:val="decimal"/>
      <w:start w:val="4"/>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1."/>
      <w:numFmt w:val="decimal"/>
      <w:start w:val="3"/>
    </w:lvl>
  </w:abstractNum>
  <w:abstractNum w:abstractNumId="138">
    <w:nsid w:val="6CAA2304"/>
    <w:multiLevelType w:val="hybridMultilevel"/>
    <w:lvl w:ilvl="0">
      <w:lvlJc w:val="left"/>
      <w:lvlText w:val="%1."/>
      <w:numFmt w:val="decimal"/>
      <w:start w:val="4"/>
    </w:lvl>
  </w:abstractNum>
  <w:abstractNum w:abstractNumId="139">
    <w:nsid w:val="3F7C2FF4"/>
    <w:multiLevelType w:val="hybridMultilevel"/>
    <w:lvl w:ilvl="0">
      <w:lvlJc w:val="left"/>
      <w:lvlText w:val="%1."/>
      <w:numFmt w:val="decimal"/>
      <w:start w:val="6"/>
    </w:lvl>
  </w:abstractNum>
  <w:abstractNum w:abstractNumId="140">
    <w:nsid w:val="25413BEC"/>
    <w:multiLevelType w:val="hybridMultilevel"/>
    <w:lvl w:ilvl="0">
      <w:lvlJc w:val="left"/>
      <w:lvlText w:val="%1."/>
      <w:numFmt w:val="decimal"/>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1."/>
      <w:numFmt w:val="decimal"/>
      <w:start w:val="2"/>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
      <w:numFmt w:val="bullet"/>
      <w:start w:val="1"/>
    </w:lvl>
  </w:abstractNum>
  <w:abstractNum w:abstractNumId="145">
    <w:nsid w:val="4D32AB86"/>
    <w:multiLevelType w:val="hybridMultilevel"/>
    <w:lvl w:ilvl="0">
      <w:lvlJc w:val="left"/>
      <w:lvlText w:val="▪"/>
      <w:numFmt w:val="bullet"/>
      <w:start w:val="1"/>
    </w:lvl>
  </w:abstractNum>
  <w:abstractNum w:abstractNumId="146">
    <w:nsid w:val="3F07ACC3"/>
    <w:multiLevelType w:val="hybridMultilevel"/>
    <w:lvl w:ilvl="0">
      <w:lvlJc w:val="left"/>
      <w:lvlText w:val="▪"/>
      <w:numFmt w:val="bullet"/>
      <w:start w:val="1"/>
    </w:lvl>
  </w:abstractNum>
  <w:abstractNum w:abstractNumId="147">
    <w:nsid w:val="6B47F63E"/>
    <w:multiLevelType w:val="hybridMultilevel"/>
    <w:lvl w:ilvl="0">
      <w:lvlJc w:val="left"/>
      <w:lvlText w:val="%1."/>
      <w:numFmt w:val="upperLetter"/>
      <w:start w:val="1"/>
    </w:lvl>
    <w:lvl w:ilvl="1">
      <w:lvlJc w:val="left"/>
      <w:lvlText w:val="•"/>
      <w:numFmt w:val="bullet"/>
      <w:start w:val="1"/>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1."/>
      <w:numFmt w:val="decimal"/>
      <w:start w:val="3"/>
    </w:lvl>
  </w:abstractNum>
  <w:abstractNum w:abstractNumId="150">
    <w:nsid w:val="1C695DEC"/>
    <w:multiLevelType w:val="hybridMultilevel"/>
    <w:lvl w:ilvl="0">
      <w:lvlJc w:val="left"/>
      <w:lvlText w:val="%1."/>
      <w:numFmt w:val="decimal"/>
      <w:start w:val="4"/>
    </w:lvl>
  </w:abstractNum>
  <w:abstractNum w:abstractNumId="151">
    <w:nsid w:val="3FCFAED9"/>
    <w:multiLevelType w:val="hybridMultilevel"/>
    <w:lvl w:ilvl="0">
      <w:lvlJc w:val="left"/>
      <w:lvlText w:val="%1."/>
      <w:numFmt w:val="decimal"/>
      <w:start w:val="5"/>
    </w:lvl>
  </w:abstractNum>
  <w:abstractNum w:abstractNumId="152">
    <w:nsid w:val="F856867"/>
    <w:multiLevelType w:val="hybridMultilevel"/>
    <w:lvl w:ilvl="0">
      <w:lvlJc w:val="left"/>
      <w:lvlText w:val="%1."/>
      <w:numFmt w:val="decimal"/>
      <w:start w:val="6"/>
    </w:lvl>
  </w:abstractNum>
  <w:abstractNum w:abstractNumId="153">
    <w:nsid w:val="11B1CC33"/>
    <w:multiLevelType w:val="hybridMultilevel"/>
    <w:lvl w:ilvl="0">
      <w:lvlJc w:val="left"/>
      <w:lvlText w:val="%1."/>
      <w:numFmt w:val="decimal"/>
      <w:start w:val="7"/>
    </w:lvl>
    <w:lvl w:ilvl="1">
      <w:lvlJc w:val="left"/>
      <w:lvlText w:val="•"/>
      <w:numFmt w:val="bullet"/>
      <w:start w:val="1"/>
    </w:lvl>
  </w:abstractNum>
  <w:abstractNum w:abstractNumId="154">
    <w:nsid w:val="2E22FBB7"/>
    <w:multiLevelType w:val="hybridMultilevel"/>
    <w:lvl w:ilvl="0">
      <w:lvlJc w:val="left"/>
      <w:lvlText w:val="•"/>
      <w:numFmt w:val="bullet"/>
      <w:start w:val="1"/>
    </w:lvl>
  </w:abstractNum>
  <w:abstractNum w:abstractNumId="155">
    <w:nsid w:val="29934699"/>
    <w:multiLevelType w:val="hybridMultilevel"/>
    <w:lvl w:ilvl="0">
      <w:lvlJc w:val="left"/>
      <w:lvlText w:val="%1."/>
      <w:numFmt w:val="decimal"/>
      <w:start w:val="1"/>
    </w:lvl>
    <w:lvl w:ilvl="1">
      <w:lvlJc w:val="left"/>
      <w:lvlText w:val="(%2)"/>
      <w:numFmt w:val="lowerLetter"/>
      <w:start w:val="1"/>
    </w:lvl>
  </w:abstractNum>
  <w:abstractNum w:abstractNumId="156">
    <w:nsid w:val="77485850"/>
    <w:multiLevelType w:val="hybridMultilevel"/>
    <w:lvl w:ilvl="0">
      <w:lvlJc w:val="left"/>
      <w:lvlText w:val="%1."/>
      <w:numFmt w:val="decimal"/>
      <w:start w:val="1"/>
    </w:lvl>
    <w:lvl w:ilvl="1">
      <w:lvlJc w:val="left"/>
      <w:lvlText w:val="(%2)"/>
      <w:numFmt w:val="lowerLetter"/>
      <w:start w:val="1"/>
    </w:lvl>
  </w:abstractNum>
  <w:abstractNum w:abstractNumId="157">
    <w:nsid w:val="744939A3"/>
    <w:multiLevelType w:val="hybridMultilevel"/>
    <w:lvl w:ilvl="0">
      <w:lvlJc w:val="left"/>
      <w:lvlText w:val="%1."/>
      <w:numFmt w:val="decimal"/>
      <w:start w:val="1"/>
    </w:lvl>
  </w:abstractNum>
  <w:abstractNum w:abstractNumId="158">
    <w:nsid w:val="4FA0D2E3"/>
    <w:multiLevelType w:val="hybridMultilevel"/>
    <w:lvl w:ilvl="0">
      <w:lvlJc w:val="left"/>
      <w:lvlText w:val="%1."/>
      <w:numFmt w:val="decimal"/>
      <w:start w:val="1"/>
    </w:lvl>
  </w:abstractNum>
  <w:abstractNum w:abstractNumId="159">
    <w:nsid w:val="6B1D2C14"/>
    <w:multiLevelType w:val="hybridMultilevel"/>
    <w:lvl w:ilvl="0">
      <w:lvlJc w:val="left"/>
      <w:lvlText w:val="%1."/>
      <w:numFmt w:val="decimal"/>
      <w:start w:val="1"/>
    </w:lvl>
  </w:abstractNum>
  <w:abstractNum w:abstractNumId="160">
    <w:nsid w:val="68B867D3"/>
    <w:multiLevelType w:val="hybridMultilevel"/>
    <w:lvl w:ilvl="0">
      <w:lvlJc w:val="left"/>
      <w:lvlText w:val="%1."/>
      <w:numFmt w:val="decimal"/>
      <w:start w:val="3"/>
    </w:lvl>
  </w:abstractNum>
  <w:abstractNum w:abstractNumId="161">
    <w:nsid w:val="3F7F5DD9"/>
    <w:multiLevelType w:val="hybridMultilevel"/>
    <w:lvl w:ilvl="0">
      <w:lvlJc w:val="left"/>
      <w:lvlText w:val="%1."/>
      <w:numFmt w:val="decimal"/>
      <w:start w:val="4"/>
    </w:lvl>
  </w:abstractNum>
  <w:abstractNum w:abstractNumId="162">
    <w:nsid w:val="2AE05A34"/>
    <w:multiLevelType w:val="hybridMultilevel"/>
    <w:lvl w:ilvl="0">
      <w:lvlJc w:val="left"/>
      <w:lvlText w:val="%1."/>
      <w:numFmt w:val="decimal"/>
      <w:start w:val="5"/>
    </w:lvl>
  </w:abstractNum>
  <w:abstractNum w:abstractNumId="163">
    <w:nsid w:val="32794FF7"/>
    <w:multiLevelType w:val="hybridMultilevel"/>
    <w:lvl w:ilvl="0">
      <w:lvlJc w:val="left"/>
      <w:lvlText w:val="%1."/>
      <w:numFmt w:val="decimal"/>
      <w:start w:val="6"/>
    </w:lvl>
  </w:abstractNum>
  <w:abstractNum w:abstractNumId="164">
    <w:nsid w:val="5454945E"/>
    <w:multiLevelType w:val="hybridMultilevel"/>
    <w:lvl w:ilvl="0">
      <w:lvlJc w:val="left"/>
      <w:lvlText w:val="%1."/>
      <w:numFmt w:val="decimal"/>
      <w:start w:val="7"/>
    </w:lvl>
  </w:abstractNum>
  <w:abstractNum w:abstractNumId="165">
    <w:nsid w:val="4DEFDFA0"/>
    <w:multiLevelType w:val="hybridMultilevel"/>
    <w:lvl w:ilvl="0">
      <w:lvlJc w:val="left"/>
      <w:lvlText w:val="%1."/>
      <w:numFmt w:val="decimal"/>
      <w:start w:val="8"/>
    </w:lvl>
  </w:abstractNum>
  <w:abstractNum w:abstractNumId="166">
    <w:nsid w:val="2123D5F2"/>
    <w:multiLevelType w:val="hybridMultilevel"/>
    <w:lvl w:ilvl="0">
      <w:lvlJc w:val="left"/>
      <w:lvlText w:val="%1."/>
      <w:numFmt w:val="decimal"/>
      <w:start w:val="9"/>
    </w:lvl>
  </w:abstractNum>
  <w:abstractNum w:abstractNumId="167">
    <w:nsid w:val="135B8110"/>
    <w:multiLevelType w:val="hybridMultilevel"/>
    <w:lvl w:ilvl="0">
      <w:lvlJc w:val="left"/>
      <w:lvlText w:val="%1."/>
      <w:numFmt w:val="decimal"/>
      <w:start w:val="10"/>
    </w:lvl>
  </w:abstractNum>
  <w:abstractNum w:abstractNumId="168">
    <w:nsid w:val="94927A8"/>
    <w:multiLevelType w:val="hybridMultilevel"/>
    <w:lvl w:ilvl="0">
      <w:lvlJc w:val="left"/>
      <w:lvlText w:val="%1."/>
      <w:numFmt w:val="decimal"/>
      <w:start w:val="11"/>
    </w:lvl>
  </w:abstractNum>
  <w:abstractNum w:abstractNumId="169">
    <w:nsid w:val="DCDF8F6"/>
    <w:multiLevelType w:val="hybridMultilevel"/>
    <w:lvl w:ilvl="0">
      <w:lvlJc w:val="left"/>
      <w:lvlText w:val="•"/>
      <w:numFmt w:val="bullet"/>
      <w:start w:val="1"/>
    </w:lvl>
  </w:abstractNum>
  <w:abstractNum w:abstractNumId="170">
    <w:nsid w:val="52D7B105"/>
    <w:multiLevelType w:val="hybridMultilevel"/>
    <w:lvl w:ilvl="0">
      <w:lvlJc w:val="left"/>
      <w:lvlText w:val="•"/>
      <w:numFmt w:val="bullet"/>
      <w:start w:val="1"/>
    </w:lvl>
  </w:abstractNum>
  <w:abstractNum w:abstractNumId="171">
    <w:nsid w:val="2E8A6394"/>
    <w:multiLevelType w:val="hybridMultilevel"/>
    <w:lvl w:ilvl="0">
      <w:lvlJc w:val="left"/>
      <w:lvlText w:val="•"/>
      <w:numFmt w:val="bullet"/>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62" Type="http://schemas.openxmlformats.org/officeDocument/2006/relationships/image" Target="media/image123.png"/><Relationship Id="rId170" Type="http://schemas.openxmlformats.org/officeDocument/2006/relationships/image" Target="media/image124.png"/><Relationship Id="rId184" Type="http://schemas.openxmlformats.org/officeDocument/2006/relationships/image" Target="media/image125.png"/><Relationship Id="rId194" Type="http://schemas.openxmlformats.org/officeDocument/2006/relationships/image" Target="media/image126.png"/><Relationship Id="rId202" Type="http://schemas.openxmlformats.org/officeDocument/2006/relationships/image" Target="media/image127.png"/><Relationship Id="rId208" Type="http://schemas.openxmlformats.org/officeDocument/2006/relationships/image" Target="media/image128.png"/><Relationship Id="rId209" Type="http://schemas.openxmlformats.org/officeDocument/2006/relationships/image" Target="media/image129.png"/><Relationship Id="rId210" Type="http://schemas.openxmlformats.org/officeDocument/2006/relationships/image" Target="media/image130.png"/><Relationship Id="rId211" Type="http://schemas.openxmlformats.org/officeDocument/2006/relationships/image" Target="media/image131.png"/><Relationship Id="rId212" Type="http://schemas.openxmlformats.org/officeDocument/2006/relationships/image" Target="media/image132.png"/><Relationship Id="rId213" Type="http://schemas.openxmlformats.org/officeDocument/2006/relationships/image" Target="media/image133.png"/><Relationship Id="rId214" Type="http://schemas.openxmlformats.org/officeDocument/2006/relationships/image" Target="media/image134.png"/><Relationship Id="rId215" Type="http://schemas.openxmlformats.org/officeDocument/2006/relationships/image" Target="media/image135.png"/><Relationship Id="rId216" Type="http://schemas.openxmlformats.org/officeDocument/2006/relationships/image" Target="media/image136.png"/><Relationship Id="rId217" Type="http://schemas.openxmlformats.org/officeDocument/2006/relationships/image" Target="media/image137.png"/><Relationship Id="rId218" Type="http://schemas.openxmlformats.org/officeDocument/2006/relationships/image" Target="media/image138.png"/><Relationship Id="rId219" Type="http://schemas.openxmlformats.org/officeDocument/2006/relationships/image" Target="media/image139.png"/><Relationship Id="rId220" Type="http://schemas.openxmlformats.org/officeDocument/2006/relationships/image" Target="media/image140.png"/><Relationship Id="rId221" Type="http://schemas.openxmlformats.org/officeDocument/2006/relationships/image" Target="media/image141.png"/><Relationship Id="rId222" Type="http://schemas.openxmlformats.org/officeDocument/2006/relationships/image" Target="media/image142.png"/><Relationship Id="rId223" Type="http://schemas.openxmlformats.org/officeDocument/2006/relationships/image" Target="media/image143.png"/><Relationship Id="rId224" Type="http://schemas.openxmlformats.org/officeDocument/2006/relationships/image" Target="media/image144.png"/><Relationship Id="rId225" Type="http://schemas.openxmlformats.org/officeDocument/2006/relationships/image" Target="media/image145.png"/><Relationship Id="rId226" Type="http://schemas.openxmlformats.org/officeDocument/2006/relationships/image" Target="media/image146.png"/><Relationship Id="rId227" Type="http://schemas.openxmlformats.org/officeDocument/2006/relationships/image" Target="media/image147.png"/><Relationship Id="rId228" Type="http://schemas.openxmlformats.org/officeDocument/2006/relationships/image" Target="media/image148.png"/><Relationship Id="rId229" Type="http://schemas.openxmlformats.org/officeDocument/2006/relationships/image" Target="media/image149.png"/><Relationship Id="rId230" Type="http://schemas.openxmlformats.org/officeDocument/2006/relationships/image" Target="media/image150.png"/><Relationship Id="rId231" Type="http://schemas.openxmlformats.org/officeDocument/2006/relationships/image" Target="media/image151.png"/><Relationship Id="rId232" Type="http://schemas.openxmlformats.org/officeDocument/2006/relationships/image" Target="media/image152.png"/><Relationship Id="rId233" Type="http://schemas.openxmlformats.org/officeDocument/2006/relationships/image" Target="media/image153.png"/><Relationship Id="rId234" Type="http://schemas.openxmlformats.org/officeDocument/2006/relationships/image" Target="media/image154.png"/><Relationship Id="rId235" Type="http://schemas.openxmlformats.org/officeDocument/2006/relationships/image" Target="media/image155.png"/><Relationship Id="rId236" Type="http://schemas.openxmlformats.org/officeDocument/2006/relationships/image" Target="media/image156.png"/><Relationship Id="rId237" Type="http://schemas.openxmlformats.org/officeDocument/2006/relationships/image" Target="media/image157.png"/><Relationship Id="rId238" Type="http://schemas.openxmlformats.org/officeDocument/2006/relationships/image" Target="media/image158.png"/><Relationship Id="rId239" Type="http://schemas.openxmlformats.org/officeDocument/2006/relationships/image" Target="media/image159.png"/><Relationship Id="rId240" Type="http://schemas.openxmlformats.org/officeDocument/2006/relationships/image" Target="media/image160.png"/><Relationship Id="rId241" Type="http://schemas.openxmlformats.org/officeDocument/2006/relationships/image" Target="media/image161.png"/><Relationship Id="rId242" Type="http://schemas.openxmlformats.org/officeDocument/2006/relationships/image" Target="media/image162.png"/><Relationship Id="rId243" Type="http://schemas.openxmlformats.org/officeDocument/2006/relationships/image" Target="media/image163.png"/><Relationship Id="rId244" Type="http://schemas.openxmlformats.org/officeDocument/2006/relationships/image" Target="media/image164.png"/><Relationship Id="rId245" Type="http://schemas.openxmlformats.org/officeDocument/2006/relationships/image" Target="media/image165.png"/><Relationship Id="rId246" Type="http://schemas.openxmlformats.org/officeDocument/2006/relationships/image" Target="media/image166.png"/><Relationship Id="rId247" Type="http://schemas.openxmlformats.org/officeDocument/2006/relationships/image" Target="media/image167.png"/><Relationship Id="rId248" Type="http://schemas.openxmlformats.org/officeDocument/2006/relationships/image" Target="media/image168.png"/><Relationship Id="rId249" Type="http://schemas.openxmlformats.org/officeDocument/2006/relationships/image" Target="media/image169.png"/><Relationship Id="rId250" Type="http://schemas.openxmlformats.org/officeDocument/2006/relationships/image" Target="media/image170.png"/><Relationship Id="rId251" Type="http://schemas.openxmlformats.org/officeDocument/2006/relationships/image" Target="media/image171.png"/><Relationship Id="rId252" Type="http://schemas.openxmlformats.org/officeDocument/2006/relationships/image" Target="media/image172.png"/><Relationship Id="rId253" Type="http://schemas.openxmlformats.org/officeDocument/2006/relationships/image" Target="media/image173.png"/><Relationship Id="rId254" Type="http://schemas.openxmlformats.org/officeDocument/2006/relationships/image" Target="media/image174.png"/><Relationship Id="rId255" Type="http://schemas.openxmlformats.org/officeDocument/2006/relationships/image" Target="media/image175.png"/><Relationship Id="rId256" Type="http://schemas.openxmlformats.org/officeDocument/2006/relationships/image" Target="media/image176.png"/><Relationship Id="rId257" Type="http://schemas.openxmlformats.org/officeDocument/2006/relationships/image" Target="media/image177.png"/><Relationship Id="rId258" Type="http://schemas.openxmlformats.org/officeDocument/2006/relationships/image" Target="media/image178.png"/><Relationship Id="rId259" Type="http://schemas.openxmlformats.org/officeDocument/2006/relationships/image" Target="media/image179.png"/><Relationship Id="rId260" Type="http://schemas.openxmlformats.org/officeDocument/2006/relationships/image" Target="media/image180.png"/><Relationship Id="rId261" Type="http://schemas.openxmlformats.org/officeDocument/2006/relationships/image" Target="media/image181.png"/><Relationship Id="rId262" Type="http://schemas.openxmlformats.org/officeDocument/2006/relationships/image" Target="media/image182.png"/><Relationship Id="rId263" Type="http://schemas.openxmlformats.org/officeDocument/2006/relationships/image" Target="media/image183.png"/><Relationship Id="rId264" Type="http://schemas.openxmlformats.org/officeDocument/2006/relationships/image" Target="media/image184.png"/><Relationship Id="rId265" Type="http://schemas.openxmlformats.org/officeDocument/2006/relationships/image" Target="media/image185.png"/><Relationship Id="rId266" Type="http://schemas.openxmlformats.org/officeDocument/2006/relationships/image" Target="media/image186.png"/><Relationship Id="rId267" Type="http://schemas.openxmlformats.org/officeDocument/2006/relationships/image" Target="media/image187.png"/><Relationship Id="rId268" Type="http://schemas.openxmlformats.org/officeDocument/2006/relationships/image" Target="media/image188.png"/><Relationship Id="rId269" Type="http://schemas.openxmlformats.org/officeDocument/2006/relationships/image" Target="media/image189.png"/><Relationship Id="rId270" Type="http://schemas.openxmlformats.org/officeDocument/2006/relationships/image" Target="media/image190.png"/><Relationship Id="rId271" Type="http://schemas.openxmlformats.org/officeDocument/2006/relationships/image" Target="media/image191.png"/><Relationship Id="rId272" Type="http://schemas.openxmlformats.org/officeDocument/2006/relationships/image" Target="media/image192.png"/><Relationship Id="rId273" Type="http://schemas.openxmlformats.org/officeDocument/2006/relationships/image" Target="media/image193.png"/><Relationship Id="rId274" Type="http://schemas.openxmlformats.org/officeDocument/2006/relationships/image" Target="media/image194.png"/><Relationship Id="rId275" Type="http://schemas.openxmlformats.org/officeDocument/2006/relationships/image" Target="media/image195.png"/><Relationship Id="rId276" Type="http://schemas.openxmlformats.org/officeDocument/2006/relationships/image" Target="media/image196.png"/><Relationship Id="rId277" Type="http://schemas.openxmlformats.org/officeDocument/2006/relationships/image" Target="media/image197.png"/><Relationship Id="rId278" Type="http://schemas.openxmlformats.org/officeDocument/2006/relationships/image" Target="media/image198.png"/><Relationship Id="rId279" Type="http://schemas.openxmlformats.org/officeDocument/2006/relationships/image" Target="media/image199.png"/><Relationship Id="rId280" Type="http://schemas.openxmlformats.org/officeDocument/2006/relationships/image" Target="media/image200.png"/><Relationship Id="rId281" Type="http://schemas.openxmlformats.org/officeDocument/2006/relationships/image" Target="media/image201.png"/><Relationship Id="rId282" Type="http://schemas.openxmlformats.org/officeDocument/2006/relationships/image" Target="media/image202.png"/><Relationship Id="rId283" Type="http://schemas.openxmlformats.org/officeDocument/2006/relationships/image" Target="media/image203.png"/><Relationship Id="rId284" Type="http://schemas.openxmlformats.org/officeDocument/2006/relationships/image" Target="media/image204.png"/><Relationship Id="rId285" Type="http://schemas.openxmlformats.org/officeDocument/2006/relationships/image" Target="media/image205.png"/><Relationship Id="rId286" Type="http://schemas.openxmlformats.org/officeDocument/2006/relationships/image" Target="media/image206.png"/><Relationship Id="rId287" Type="http://schemas.openxmlformats.org/officeDocument/2006/relationships/image" Target="media/image207.png"/><Relationship Id="rId288" Type="http://schemas.openxmlformats.org/officeDocument/2006/relationships/image" Target="media/image208.png"/><Relationship Id="rId289" Type="http://schemas.openxmlformats.org/officeDocument/2006/relationships/image" Target="media/image209.png"/><Relationship Id="rId290" Type="http://schemas.openxmlformats.org/officeDocument/2006/relationships/image" Target="media/image210.png"/><Relationship Id="rId54" Type="http://schemas.openxmlformats.org/officeDocument/2006/relationships/hyperlink" Target="https://www.sec.gov/Archives/edgar/data/1590895/000159089524000051/czr-20231231.htm#i22f1810523cc42a4917c42211fe2a34a_52" TargetMode="External"/><Relationship Id="rId129" Type="http://schemas.openxmlformats.org/officeDocument/2006/relationships/hyperlink" Target="https://www.sec.gov/Archives/edgar/data/858339/000119312519180418/d723548dex21.htm" TargetMode="External"/><Relationship Id="rId130" Type="http://schemas.openxmlformats.org/officeDocument/2006/relationships/hyperlink" Target="https://www.sec.gov/Archives/edgar/data/1590895/000119312519223544/d793420dex21.htm" TargetMode="External"/><Relationship Id="rId131" Type="http://schemas.openxmlformats.org/officeDocument/2006/relationships/hyperlink" Target="https://www.sec.gov/Archives/edgar/data/1590895/000119312523169019/d522744dex31.htm" TargetMode="External"/><Relationship Id="rId132" Type="http://schemas.openxmlformats.org/officeDocument/2006/relationships/hyperlink" Target="https://www.sec.gov/Archives/edgar/data/1590895/000119312522208845/d332982dex31.htm" TargetMode="External"/><Relationship Id="rId133" Type="http://schemas.openxmlformats.org/officeDocument/2006/relationships/hyperlink" Target="https://www.sec.gov/Archives/edgar/data/1590895/000119312520187991/d847565dex42.htm" TargetMode="External"/><Relationship Id="rId134" Type="http://schemas.openxmlformats.org/officeDocument/2006/relationships/hyperlink" Target="https://www.sec.gov/Archives/edgar/data/1590895/000119312520196232/d940333dex43.htm" TargetMode="External"/><Relationship Id="rId135" Type="http://schemas.openxmlformats.org/officeDocument/2006/relationships/hyperlink" Target="https://www.sec.gov/Archives/edgar/data/1590895/000159089523000070/exhibit47-ceix8125seniorno.htm" TargetMode="External"/><Relationship Id="rId136" Type="http://schemas.openxmlformats.org/officeDocument/2006/relationships/hyperlink" Target="https://www.sec.gov/Archives/edgar/data/1590895/000159089524000051/exhibit49cei-8125seniornot.htm" TargetMode="External"/><Relationship Id="rId137" Type="http://schemas.openxmlformats.org/officeDocument/2006/relationships/hyperlink" Target="https://www.sec.gov/Archives/edgar/data/1590895/000119312521282591/d197637dex101.htm" TargetMode="External"/><Relationship Id="rId138" Type="http://schemas.openxmlformats.org/officeDocument/2006/relationships/hyperlink" Target="https://www.sec.gov/Archives/edgar/data/1590895/000119312522258242/d407428dex41.htm" TargetMode="External"/><Relationship Id="rId139" Type="http://schemas.openxmlformats.org/officeDocument/2006/relationships/hyperlink" Target="https://www.sec.gov/Archives/edgar/data/1590895/000159089524000051/exhibit415cei-4625seniorno.htm" TargetMode="External"/><Relationship Id="rId140" Type="http://schemas.openxmlformats.org/officeDocument/2006/relationships/hyperlink" Target="https://www.sec.gov/Archives/edgar/data/1590895/000119312523025630/d455857dex101.htm" TargetMode="External"/><Relationship Id="rId141" Type="http://schemas.openxmlformats.org/officeDocument/2006/relationships/hyperlink" Target="https://www.sec.gov/Archives/edgar/data/1590895/000159089523000077/ex42czrsecurednotes2030-fi.htm" TargetMode="External"/><Relationship Id="rId142" Type="http://schemas.openxmlformats.org/officeDocument/2006/relationships/hyperlink" Target="https://www.sec.gov/Archives/edgar/data/1590895/000159089524000051/exhibit418cei-700seniorsec.htm" TargetMode="External"/><Relationship Id="rId143" Type="http://schemas.openxmlformats.org/officeDocument/2006/relationships/hyperlink" Target="https://www.sec.gov/Archives/edgar/data/1590895/000119312524026847/d739529dex101.htm" TargetMode="External"/><Relationship Id="rId146" Type="http://schemas.openxmlformats.org/officeDocument/2006/relationships/hyperlink" Target="https://www.sec.gov/Archives/edgar/data/1590895/000159089524000088/exhibit42firstsupplemental.htm" TargetMode="External"/><Relationship Id="rId147" Type="http://schemas.openxmlformats.org/officeDocument/2006/relationships/hyperlink" Target="https://www.sec.gov/Archives/edgar/data/1590895/000119312524238882/d877683dex41.htm" TargetMode="External"/><Relationship Id="rId148" Type="http://schemas.openxmlformats.org/officeDocument/2006/relationships/hyperlink" Target="https://www.sec.gov/Archives/edgar/data/1590895/000119312520196232/d940333dex105.htm" TargetMode="External"/><Relationship Id="rId149" Type="http://schemas.openxmlformats.org/officeDocument/2006/relationships/hyperlink" Target="https://www.sec.gov/Archives/edgar/data/1590895/000159089520000039/lasvegaslease-thirdame.htm" TargetMode="External"/><Relationship Id="rId150" Type="http://schemas.openxmlformats.org/officeDocument/2006/relationships/hyperlink" Target="https://www.sec.gov/Archives/edgar/data/1590895/000159089521000085/exhibit103-lasvegasleasexf.htm" TargetMode="External"/><Relationship Id="rId151" Type="http://schemas.openxmlformats.org/officeDocument/2006/relationships/hyperlink" Target="https://www.sec.gov/Archives/edgar/data/1590895/000159089521000135/ex102-lasvegasleasecsixfif.htm" TargetMode="External"/><Relationship Id="rId152" Type="http://schemas.openxmlformats.org/officeDocument/2006/relationships/hyperlink" Target="https://www.sec.gov/Archives/edgar/data/1590895/000159089522000061/exhibit105-sixthamendmentt.htm" TargetMode="External"/><Relationship Id="rId153" Type="http://schemas.openxmlformats.org/officeDocument/2006/relationships/hyperlink" Target="https://www.sec.gov/Archives/edgar/data/1590895/000119312520196232/d940333dex108.htm" TargetMode="External"/><Relationship Id="rId154" Type="http://schemas.openxmlformats.org/officeDocument/2006/relationships/hyperlink" Target="https://www.sec.gov/Archives/edgar/data/1590895/000119312520196232/d940333dex106.htm" TargetMode="External"/><Relationship Id="rId155" Type="http://schemas.openxmlformats.org/officeDocument/2006/relationships/hyperlink" Target="https://www.sec.gov/Archives/edgar/data/1590895/000159089520000039/regionallease-sixthame.htm" TargetMode="External"/><Relationship Id="rId156" Type="http://schemas.openxmlformats.org/officeDocument/2006/relationships/hyperlink" Target="https://www.sec.gov/Archives/edgar/data/1590895/000159089521000085/exhibit107-regionalleasexs.htm" TargetMode="External"/><Relationship Id="rId157" Type="http://schemas.openxmlformats.org/officeDocument/2006/relationships/hyperlink" Target="https://www.sec.gov/Archives/edgar/data/1590895/000159089521000135/ex104-regionalleasecsixeig.htm" TargetMode="External"/><Relationship Id="rId158" Type="http://schemas.openxmlformats.org/officeDocument/2006/relationships/hyperlink" Target="https://www.sec.gov/Archives/edgar/data/1590895/000159089522000061/exhibit1011-ninthamendedto.htm" TargetMode="External"/><Relationship Id="rId159" Type="http://schemas.openxmlformats.org/officeDocument/2006/relationships/hyperlink" Target="https://www.sec.gov/Archives/edgar/data/1590895/000159089522000061/exhibit1012-tenthamendment.htm" TargetMode="External"/><Relationship Id="rId160" Type="http://schemas.openxmlformats.org/officeDocument/2006/relationships/hyperlink" Target="https://www.sec.gov/Archives/edgar/data/1590895/000159089522000148/ex106-regionalleasexeleven.htm" TargetMode="External"/><Relationship Id="rId161" Type="http://schemas.openxmlformats.org/officeDocument/2006/relationships/hyperlink" Target="https://www.sec.gov/Archives/edgar/data/1590895/000159089523000077/ex103regionallease-twelfth.htm" TargetMode="External"/><Relationship Id="rId163" Type="http://schemas.openxmlformats.org/officeDocument/2006/relationships/hyperlink" Target="https://www.sec.gov/Archives/edgar/data/1590895/000119312520196232/d940333dex109.htm" TargetMode="External"/><Relationship Id="rId164" Type="http://schemas.openxmlformats.org/officeDocument/2006/relationships/hyperlink" Target="https://www.sec.gov/Archives/edgar/data/1590895/000119312520196232/d940333dex107.htm" TargetMode="External"/><Relationship Id="rId165" Type="http://schemas.openxmlformats.org/officeDocument/2006/relationships/hyperlink" Target="https://www.sec.gov/Archives/edgar/data/1590895/000159089520000039/jolietlease-thirdamend.htm" TargetMode="External"/><Relationship Id="rId166" Type="http://schemas.openxmlformats.org/officeDocument/2006/relationships/hyperlink" Target="https://www.sec.gov/Archives/edgar/data/1590895/000159089521000085/exhibit1011-jolietleasexfo.htm" TargetMode="External"/><Relationship Id="rId167" Type="http://schemas.openxmlformats.org/officeDocument/2006/relationships/hyperlink" Target="https://www.sec.gov/Archives/edgar/data/1590895/000159089521000135/ex103-jolietleasecsixfifth.htm" TargetMode="External"/><Relationship Id="rId168" Type="http://schemas.openxmlformats.org/officeDocument/2006/relationships/hyperlink" Target="https://www.sec.gov/Archives/edgar/data/1590895/000159089522000061/exhibit1018-sixthamendment.htm" TargetMode="External"/><Relationship Id="rId169" Type="http://schemas.openxmlformats.org/officeDocument/2006/relationships/hyperlink" Target="https://www.sec.gov/Archives/edgar/data/1590895/000119312520196232/d940333dex1010.htm" TargetMode="External"/><Relationship Id="rId171" Type="http://schemas.openxmlformats.org/officeDocument/2006/relationships/hyperlink" Target="https://www.sec.gov/Archives/edgar/data/1590895/000119312520196232/d940333dex1011.htm" TargetMode="External"/><Relationship Id="rId172" Type="http://schemas.openxmlformats.org/officeDocument/2006/relationships/hyperlink" Target="https://www.sec.gov/Archives/edgar/data/1590895/000119312520196232/d940333dex1012.htm" TargetMode="External"/><Relationship Id="rId173" Type="http://schemas.openxmlformats.org/officeDocument/2006/relationships/hyperlink" Target="https://www.sec.gov/Archives/edgar/data/1590895/000119312520196232/d940333dex1013.htm" TargetMode="External"/><Relationship Id="rId174" Type="http://schemas.openxmlformats.org/officeDocument/2006/relationships/hyperlink" Target="https://www.sec.gov/Archives/edgar/data/1590895/000119312520196232/d940333dex1014.htm" TargetMode="External"/><Relationship Id="rId175" Type="http://schemas.openxmlformats.org/officeDocument/2006/relationships/hyperlink" Target="https://www.sec.gov/Archives/edgar/data/1590895/000119312520249222/d37922dex101.htm" TargetMode="External"/><Relationship Id="rId176" Type="http://schemas.openxmlformats.org/officeDocument/2006/relationships/hyperlink" Target="https://www.sec.gov/Archives/edgar/data/858339/000119312520196345/d39509dex1013.htm" TargetMode="External"/><Relationship Id="rId177" Type="http://schemas.openxmlformats.org/officeDocument/2006/relationships/hyperlink" Target="https://www.sec.gov/Archives/edgar/data/1590895/000119312520196232/d940333dex101.htm" TargetMode="External"/><Relationship Id="rId178" Type="http://schemas.openxmlformats.org/officeDocument/2006/relationships/hyperlink" Target="https://www.sec.gov/Archives/edgar/data/1590895/000119312520196232/d940333dex102.htm" TargetMode="External"/><Relationship Id="rId179" Type="http://schemas.openxmlformats.org/officeDocument/2006/relationships/hyperlink" Target="https://www.sec.gov/Archives/edgar/data/1590895/000119312521325963/d247648dex101.htm" TargetMode="External"/><Relationship Id="rId180" Type="http://schemas.openxmlformats.org/officeDocument/2006/relationships/hyperlink" Target="https://www.sec.gov/Archives/edgar/data/1590895/000119312522019767/d252706dex101.htm" TargetMode="External"/><Relationship Id="rId181" Type="http://schemas.openxmlformats.org/officeDocument/2006/relationships/hyperlink" Target="https://www.sec.gov/Archives/edgar/data/1590895/000119312522258242/d407428dex101.htm" TargetMode="External"/><Relationship Id="rId182" Type="http://schemas.openxmlformats.org/officeDocument/2006/relationships/hyperlink" Target="https://www.sec.gov/Archives/edgar/data/1590895/000119312524135268/d827488dex101.htm" TargetMode="External"/><Relationship Id="rId183" Type="http://schemas.openxmlformats.org/officeDocument/2006/relationships/hyperlink" Target="https://www.sec.gov/Archives/edgar/data/1590895/000119312524265157/d858083dex101.htm" TargetMode="External"/><Relationship Id="rId185" Type="http://schemas.openxmlformats.org/officeDocument/2006/relationships/hyperlink" Target="https://www.sec.gov/Archives/edgar/data/1590895/000119312523025630/d455857dex102.htm" TargetMode="External"/><Relationship Id="rId186" Type="http://schemas.openxmlformats.org/officeDocument/2006/relationships/hyperlink" Target="https://www.sec.gov/Archives/edgar/data/1590895/000119312524026847/d739529dex102.htm" TargetMode="External"/><Relationship Id="rId187" Type="http://schemas.openxmlformats.org/officeDocument/2006/relationships/hyperlink" Target="https://www.sec.gov/Archives/edgar/data/858339/000119312517309911/d474419dex1019.htm" TargetMode="External"/><Relationship Id="rId188" Type="http://schemas.openxmlformats.org/officeDocument/2006/relationships/hyperlink" Target="https://www.sec.gov/Archives/edgar/data/858339/000156459020015547/czr-ex101_6.htm" TargetMode="External"/><Relationship Id="rId189" Type="http://schemas.openxmlformats.org/officeDocument/2006/relationships/hyperlink" Target="https://www.sec.gov/Archives/edgar/data/858339/000119312520107177/d911819dex104.htm" TargetMode="External"/><Relationship Id="rId190" Type="http://schemas.openxmlformats.org/officeDocument/2006/relationships/hyperlink" Target="https://www.sec.gov/Archives/edgar/data/858339/000119312518348970/d655600dex41.htm" TargetMode="External"/><Relationship Id="rId191" Type="http://schemas.openxmlformats.org/officeDocument/2006/relationships/hyperlink" Target="https://www.sec.gov/Archives/edgar/data/858339/000119312518348970/d655600dex42.htm" TargetMode="External"/><Relationship Id="rId192" Type="http://schemas.openxmlformats.org/officeDocument/2006/relationships/hyperlink" Target="https://www.sec.gov/Archives/edgar/data/1590895/000159089524000106/exhibit101caesars-secondam.htm" TargetMode="External"/><Relationship Id="rId193" Type="http://schemas.openxmlformats.org/officeDocument/2006/relationships/hyperlink" Target="https://www.sec.gov/Archives/edgar/data/1590895/000159089520000039/ceiindemnificationagre.htm" TargetMode="External"/><Relationship Id="rId195" Type="http://schemas.openxmlformats.org/officeDocument/2006/relationships/hyperlink" Target="https://www.sec.gov/Archives/edgar/data/1590895/000159089522000148/aremploymentagreement-by.htm" TargetMode="External"/><Relationship Id="rId196" Type="http://schemas.openxmlformats.org/officeDocument/2006/relationships/hyperlink" Target="https://www.sec.gov/Archives/edgar/data/1590895/000159089524000088/exhibit102byeaamendmentjan.htm" TargetMode="External"/><Relationship Id="rId197" Type="http://schemas.openxmlformats.org/officeDocument/2006/relationships/hyperlink" Target="https://www.sec.gov/Archives/edgar/data/1590895/000159089524000088/exhibit103sleaamendmentjan.htm" TargetMode="External"/><Relationship Id="rId198" Type="http://schemas.openxmlformats.org/officeDocument/2006/relationships/hyperlink" Target="https://www.sec.gov/Archives/edgar/data/1590895/000159089522000148/aremploymentagreement-tr.htm" TargetMode="External"/><Relationship Id="rId199" Type="http://schemas.openxmlformats.org/officeDocument/2006/relationships/hyperlink" Target="https://www.sec.gov/Archives/edgar/data/1590895/000159089524000088/exhibit104treaamendmentjan.htm" TargetMode="External"/><Relationship Id="rId200" Type="http://schemas.openxmlformats.org/officeDocument/2006/relationships/hyperlink" Target="https://www.sec.gov/Archives/edgar/data/1590895/000159089522000078/reeg_specialrsuawardagreem.htm" TargetMode="External"/><Relationship Id="rId201" Type="http://schemas.openxmlformats.org/officeDocument/2006/relationships/hyperlink" Target="https://www.sec.gov/Archives/edgar/data/1590895/000159089522000148/aremploymentagreement-ac.htm" TargetMode="External"/><Relationship Id="rId203" Type="http://schemas.openxmlformats.org/officeDocument/2006/relationships/hyperlink" Target="https://www.sec.gov/Archives/edgar/data/1590895/000159089524000088/exhibit105aceaamendmentjan.htm" TargetMode="External"/><Relationship Id="rId204" Type="http://schemas.openxmlformats.org/officeDocument/2006/relationships/hyperlink" Target="https://www.sec.gov/Archives/edgar/data/1590895/000159089522000148/aremploymentagreement-eq.htm" TargetMode="External"/><Relationship Id="rId205" Type="http://schemas.openxmlformats.org/officeDocument/2006/relationships/hyperlink" Target="https://www.sec.gov/Archives/edgar/data/1590895/000159089524000088/exhibit106eqeaamendmentjan.htm" TargetMode="External"/><Relationship Id="rId206" Type="http://schemas.openxmlformats.org/officeDocument/2006/relationships/hyperlink" Target="https://www.sec.gov/Archives/edgar/data/1590895/000159089520000039/amendedandrestatedomni.htm" TargetMode="External"/><Relationship Id="rId207" Type="http://schemas.openxmlformats.org/officeDocument/2006/relationships/hyperlink" Target="https://www.sec.gov/Archives/edgar/data/1590895/000159089524000051/exhibit1056thirdarmaster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2025-02-25T16:32:19Z</dcterms:created>
  <dcterms:modified xsi:type="dcterms:W3CDTF">2025-02-25T16:32:19Z</dcterms:modified>
</cp:coreProperties>
</file>