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Caesars Entertainment,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001-36629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46-3657681</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 West Liberty Street, 12</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Reno, Nevada 89501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(775) 328-0100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80" w:right="2020" w:hanging="552"/>
        <w:spacing w:after="0" w:line="497" w:lineRule="auto"/>
        <w:tabs>
          <w:tab w:leader="none" w:pos="9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CZR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u w:val="single" w:color="auto"/>
          <w:color w:val="auto"/>
        </w:rPr>
        <w:t>Other Events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27, 2020, (i) Caesars Entertainment, Inc., a Delaware corporation (“the Company”), and its subsidiaries Aztar Riverboat Holding Company, LLC, an Indiana limited liability company (“Seller”), and Aztar Indiana Gaming Company, LLC, an Indiana limited liability company (“Aztar”) that operates Tropicana Evansville (“Tropicana Evansville”) entered into a Purchase Agreement ( the “Equity Purchase Agreement”) with GLP Capital, L.P., a Pennsylvania limited partnership (“GLP”), Twin River Management Group, Inc. (“Twin River”), Twin River Worldwide Holdings, Inc. and Gaming and Leisure Properties, Inc, pursuant to which Twin River agreed to purchase 100% of the equity interests of Aztar, and (ii) Aztar entered into a Real Estate Purchase and Sale Agreement with GLP (the “Real Estate Purchase Agreement” and together with the Equity Purchase Agreement, the “Purchase Agreements”), pursuant to which (x) GLP agreed to purchase the real estate assets of Aztar for $340,000,000 and (y) Twin River agreed to purchase for $140,000,000 all of the outstanding equity interests of Aztar immediately thereafter (the “Sale”).</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warranties, covenants and indemnification obligations. Consummation of the Sale is subject to customary conditions, including, among other things receipt of required regulatory approvals. If the Equity Purchase Agreement is terminated in certain circumstances as a result of the failure of Acquirors to obtain regulatory approvals (including gaming approvals), then Acquirors may be obligated to pay the Company a termination fee of $16,800,000.</w:t>
      </w:r>
    </w:p>
    <w:p>
      <w:pPr>
        <w:spacing w:after="0" w:line="180"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Also on October 27, 2020, the Company’s subsidiaries, Isle of Capri Bettendorf, L.C. and IOC Black Hawk County, Inc (collectively, the “Exchanging Subsidiaries”) entered into an Exchange Agreement with GLP pursuant to which the Exchanging Subsidiaries agreed to transfer the real estate relating to the Isle Casino &amp; Hotels located in Bettendorf, Iowa and Waterloo, Iowa to GLP in exchange for the real estate relating to Tropicana Evansville.</w:t>
      </w:r>
    </w:p>
    <w:p>
      <w:pPr>
        <w:spacing w:after="0" w:line="2"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Following such exchange, the real estate relating to the Isle Casino &amp; Hotels located in Bettendorf, Iowa and Waterloo, Iowa will be subject to the Master Lease with GLP.</w:t>
      </w:r>
    </w:p>
    <w:p>
      <w:pPr>
        <w:spacing w:after="0" w:line="1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27, 2020, the Company issued a press release announcing the Sale and exchange described in this Item 8.01. A copy of the press release is attached hereto as Exhibit 99.1 and is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220"/>
        <w:spacing w:after="0"/>
        <w:tabs>
          <w:tab w:leader="none" w:pos="10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October 27, 2020</w:t>
        </w:r>
      </w:hyperlink>
    </w:p>
    <w:p>
      <w:pPr>
        <w:spacing w:after="0" w:line="117" w:lineRule="exact"/>
        <w:rPr>
          <w:sz w:val="20"/>
          <w:szCs w:val="20"/>
          <w:color w:val="auto"/>
        </w:rPr>
      </w:pPr>
    </w:p>
    <w:p>
      <w:pPr>
        <w:ind w:left="22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October 28, 2020</w:t>
      </w:r>
      <w:r>
        <w:rPr>
          <w:sz w:val="20"/>
          <w:szCs w:val="20"/>
          <w:color w:val="auto"/>
        </w:rPr>
        <w:tab/>
      </w:r>
      <w:r>
        <w:rPr>
          <w:rFonts w:ascii="Times New Roman" w:cs="Times New Roman" w:eastAsia="Times New Roman" w:hAnsi="Times New Roman"/>
          <w:sz w:val="17"/>
          <w:szCs w:val="17"/>
          <w:color w:val="auto"/>
        </w:rPr>
        <w:t>CAESARS ENTERTAINMENT,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p>
      <w:pPr>
        <w:sectPr>
          <w:pgSz w:w="11900" w:h="16838" w:orient="portrait"/>
          <w:cols w:equalWidth="0" w:num="1">
            <w:col w:w="10400"/>
          </w:cols>
          <w:pgMar w:left="440" w:top="293" w:right="10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173990</wp:posOffset>
            </wp:positionV>
            <wp:extent cx="2211705" cy="1234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170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Caesars Entertainment, Inc. Announces Agreement to Sell Tropicana Evansville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Gaming and Leisure Properties and Twin River Worldwide Holdings</w:t>
      </w:r>
    </w:p>
    <w:p>
      <w:pPr>
        <w:spacing w:after="0" w:line="20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Reno, Nev. and Las Vegas (Oct. 27, 2020) </w:t>
      </w:r>
      <w:r>
        <w:rPr>
          <w:rFonts w:ascii="Times New Roman" w:cs="Times New Roman" w:eastAsia="Times New Roman" w:hAnsi="Times New Roman"/>
          <w:sz w:val="18"/>
          <w:szCs w:val="18"/>
          <w:color w:val="auto"/>
        </w:rPr>
        <w:t>– Caesars Entertainment, Inc., (NASDAQ: CZR) (“Caesars” or “CZR”) today announced a definitive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sell Tropicana Evansville to Gaming and Leisure Properties and Twin River Worldwide Holdings for $480 million in cash, subject to a customary working capital adjustment.</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terms of an exchange agreement with Gaming and Leisure Properties, Caesars has agreed to add the real estate associated with Isle Casino Hotel Waterloo and Isle Casino Hotel Bettendorf to the GLPI Master Lease, giving us full ownership of Tropicana Evansville and the ability to sell it in whole.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 want to thank all of our Evansville Team Members for their hard work and dedication, especially during the COVID-19 pandemic, and we wish them the best under Twin River’s ownership,” said Tom Reeg, CEO of Caesars Entertainment,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is expected to close in mid-2021 and is subject to regulatory approvals and other customary closing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Milbank LLP represented Caesars Entertainment on the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Caesars Entertainment, Inc.</w:t>
      </w:r>
    </w:p>
    <w:p>
      <w:pPr>
        <w:spacing w:after="0" w:line="12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Caesars Entertainment, Inc. (NASDAQ: CZR) is the largest casino-entertainment company in the U.S. and one of the world’s most diversified casino-entertainment providers. Since its beginning in Reno, Nevada, in 1937, Caesars Entertainment has grown through development of new resorts, expansions and acquisitions. Caesars Entertainment’s resorts operate primarily under the Caesars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Harrah’s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Horseshoe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Eldorado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brand names. Caesars Entertainment offers diversified amenities and one-of-a-kind destinations, with a focus on building loyalty and value with its guests through a unique combination of impeccable service, operational excellence and technology leadership. Caesars Entertainment is committed to its employees, suppliers, communities and the environment through its PEOPLE PLANET PLAY framework. For more information, please visit </w:t>
      </w:r>
      <w:r>
        <w:rPr>
          <w:rFonts w:ascii="Times New Roman" w:cs="Times New Roman" w:eastAsia="Times New Roman" w:hAnsi="Times New Roman"/>
          <w:sz w:val="18"/>
          <w:szCs w:val="18"/>
          <w:u w:val="single" w:color="auto"/>
          <w:color w:val="auto"/>
        </w:rPr>
        <w:t>www.caesars.com/corporate</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Forward-looking statements include statements regarding the strategies, objectives and plans for future development or acquisitions of properties or operations of Caesars, as well as</w:t>
      </w:r>
    </w:p>
    <w:p>
      <w:pPr>
        <w:sectPr>
          <w:pgSz w:w="11900" w:h="16838" w:orient="portrait"/>
          <w:cols w:equalWidth="0" w:num="1">
            <w:col w:w="11020"/>
          </w:cols>
          <w:pgMar w:left="440" w:top="117" w:right="439" w:bottom="1440" w:gutter="0" w:footer="0" w:header="0"/>
        </w:sectPr>
      </w:pPr>
    </w:p>
    <w:bookmarkStart w:id="4" w:name="page5"/>
    <w:bookmarkEnd w:id="4"/>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expectations, future operating results and other information that is not historical information. When used in this press release, the terms or phrases such as “anticipates,” “believes,” “projects,” “plans,” “intends,” “expects,” “might,” “may,” “estimates,” “could,” “should,” “would,” “will likely continue,” and variations of such words or similar expressions are intended to identify forward-looking statements. Although the expectations, beliefs and projections are expressed in good faith and with what is believed to be a reasonable basis, there can be no assurance that these expectations, beliefs and projections will be realized. There are a number of risks and uncertainties that could cause actual results to differ materially from those expressed in the forward-looking statements which are included elsewhere in this press release. These risks and uncertainties include, without limitation: (a) the effects of the COVID-19 public health emergency, including (i) the impact of the actions taken to contain the public health emergency or mitigate its impact,</w:t>
      </w:r>
    </w:p>
    <w:p>
      <w:pPr>
        <w:spacing w:after="0" w:line="2" w:lineRule="exact"/>
        <w:rPr>
          <w:sz w:val="20"/>
          <w:szCs w:val="20"/>
          <w:color w:val="auto"/>
        </w:rPr>
      </w:pPr>
    </w:p>
    <w:p>
      <w:pPr>
        <w:ind w:left="4" w:hanging="4"/>
        <w:spacing w:after="0" w:line="251"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and indirect economic effects of the public health emergency and measures to contain it (including various state governments’, tribal authorities’ and/or regulatory authorities’ issuance of directives, mandates, orders or similar actions restricting freedom of movement and business operations, such as travel restrictions, border closures, business closures, limitations on public gatherings, quarantines and “shelter-at-home” orders, any of which may result in the closure of business operations) and (iii) changes and instability in global, national and regional economic activity and financial market activity as a result of the COVID-19 public health emergency and the impact on consumer discretionary spending and travel, all of which are highly uncertain and cannot be predicted with confidence; (b) legislative, regulatory and economic developments, including regulatory approval of the sale of Tropicana Evansville; (c) the fact that the transactions contemplated by the transaction agreements for the sale of Tropicana Evansville may not be completed on the terms contemplated or at all, including because the sale is conditioned upon the receipt of regulatory approvals, and other closing conditions, and the potential adverse reactions or changes to business, customer, management or employee relationships, including those resulting from the announcement or completion of the contemplated sale; and (c) additional factors discussed in the sections entitled “Risk Factors” and “Management’s Discussion and Analysis of Financial Condition and Results of Operations” in CZR’s respective most recent Annual Reports on Form 10-K and Quarterly Reports on Form 10-Q as filed with the Securities and Exchange Commission. Other unknown or unpredictable factors may also cause actual results to differ materially from those projected by the forward-looking statements.</w:t>
      </w:r>
    </w:p>
    <w:p>
      <w:pPr>
        <w:spacing w:after="0" w:line="19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In light of these and other risks, uncertainties and assumptions, the forward-looking events discussed in this press release might not occur. These forward-looking statements speak only as of the date of this press release, even if subsequently made available on the websites of Caesars or otherwise, and Caesars does not intend to update publicly any forward-looking statement to reflect events or circumstances that occur after the date on which the statement is made, except as may be required by law.</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 Caesars Entertainment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Investor Relations: Brian Agnew, </w:t>
      </w:r>
      <w:r>
        <w:rPr>
          <w:rFonts w:ascii="Times New Roman" w:cs="Times New Roman" w:eastAsia="Times New Roman" w:hAnsi="Times New Roman"/>
          <w:sz w:val="18"/>
          <w:szCs w:val="18"/>
          <w:u w:val="single" w:color="auto"/>
          <w:color w:val="auto"/>
        </w:rPr>
        <w:t>bagnew@caesars.com</w:t>
      </w:r>
      <w:r>
        <w:rPr>
          <w:rFonts w:ascii="Times New Roman" w:cs="Times New Roman" w:eastAsia="Times New Roman" w:hAnsi="Times New Roman"/>
          <w:sz w:val="18"/>
          <w:szCs w:val="18"/>
          <w:color w:val="auto"/>
        </w:rPr>
        <w:t xml:space="preserve">; Charise Crumbley, </w:t>
      </w:r>
      <w:r>
        <w:rPr>
          <w:rFonts w:ascii="Times New Roman" w:cs="Times New Roman" w:eastAsia="Times New Roman" w:hAnsi="Times New Roman"/>
          <w:sz w:val="18"/>
          <w:szCs w:val="18"/>
          <w:u w:val="single" w:color="auto"/>
          <w:color w:val="auto"/>
        </w:rPr>
        <w:t>ccrumbley@caesars.com</w:t>
      </w:r>
      <w:r>
        <w:rPr>
          <w:rFonts w:ascii="Times New Roman" w:cs="Times New Roman" w:eastAsia="Times New Roman" w:hAnsi="Times New Roman"/>
          <w:sz w:val="18"/>
          <w:szCs w:val="18"/>
          <w:color w:val="auto"/>
        </w:rPr>
        <w:t>, 800-318-0047</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Media Relations: Celena Haas-Stacey, </w:t>
      </w:r>
      <w:r>
        <w:rPr>
          <w:rFonts w:ascii="Times New Roman" w:cs="Times New Roman" w:eastAsia="Times New Roman" w:hAnsi="Times New Roman"/>
          <w:sz w:val="18"/>
          <w:szCs w:val="18"/>
          <w:u w:val="single" w:color="auto"/>
          <w:color w:val="auto"/>
        </w:rPr>
        <w:t>chaas@caesars.com</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Caesars Entertainment, Inc.</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964"/>
      </w:cols>
      <w:pgMar w:left="436"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2020-10-28T05:23:33Z</dcterms:created>
  <dcterms:modified xsi:type="dcterms:W3CDTF">2020-10-28T05:23:33Z</dcterms:modified>
</cp:coreProperties>
</file>