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SCHEDULE TO</w:t>
      </w:r>
    </w:p>
    <w:p>
      <w:pPr>
        <w:spacing w:after="0" w:line="7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40"/>
          <w:szCs w:val="40"/>
          <w:b w:val="1"/>
          <w:bCs w:val="1"/>
          <w:color w:val="auto"/>
        </w:rPr>
        <w:t>CAESARS HOLDINGS, INC.</w:t>
      </w:r>
    </w:p>
    <w:p>
      <w:pPr>
        <w:spacing w:after="0" w:line="3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f/k/a Caesars Entertainment Corporation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(Name of Subject Company (Issuer))</w:t>
      </w:r>
    </w:p>
    <w:p>
      <w:pPr>
        <w:spacing w:after="0" w:line="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CAESARS HOLDINGS, INC.</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(Names of Filing Person (Issuer))</w:t>
      </w:r>
    </w:p>
    <w:p>
      <w:pPr>
        <w:spacing w:after="0" w:line="5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5.00% Convertible Senior Notes Due 2024</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(Title of Class of Securities)</w:t>
      </w:r>
    </w:p>
    <w:p>
      <w:pPr>
        <w:spacing w:after="0" w:line="4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127686 AA1</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(CUSIP Number of Class of Securities)</w:t>
      </w:r>
    </w:p>
    <w:p>
      <w:pPr>
        <w:spacing w:after="0" w:line="4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Caesars Holdings,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One Caesars Palace Drive</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Las Vegas, NV 89109</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(702) 407-6000</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tbl>
      <w:tblPr>
        <w:tblLayout w:type="fixed"/>
        <w:tblInd w:w="14"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00" w:type="dxa"/>
            <w:vAlign w:val="bottom"/>
            <w:gridSpan w:val="3"/>
          </w:tcPr>
          <w:p>
            <w:pPr>
              <w:jc w:val="center"/>
              <w:ind w:right="4308"/>
              <w:spacing w:after="0"/>
              <w:rPr>
                <w:sz w:val="20"/>
                <w:szCs w:val="20"/>
                <w:color w:val="auto"/>
              </w:rPr>
            </w:pPr>
            <w:r>
              <w:rPr>
                <w:rFonts w:ascii="Arial" w:cs="Arial" w:eastAsia="Arial" w:hAnsi="Arial"/>
                <w:sz w:val="18"/>
                <w:szCs w:val="18"/>
                <w:b w:val="1"/>
                <w:bCs w:val="1"/>
                <w:i w:val="1"/>
                <w:iCs w:val="1"/>
                <w:color w:val="auto"/>
                <w:w w:val="86"/>
              </w:rPr>
              <w:t>With a copy to:</w:t>
            </w:r>
          </w:p>
        </w:tc>
      </w:tr>
      <w:tr>
        <w:trPr>
          <w:trHeight w:val="265"/>
        </w:trPr>
        <w:tc>
          <w:tcPr>
            <w:tcW w:w="3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700" w:type="dxa"/>
            <w:vAlign w:val="bottom"/>
            <w:gridSpan w:val="3"/>
          </w:tcPr>
          <w:p>
            <w:pPr>
              <w:jc w:val="center"/>
              <w:ind w:right="4308"/>
              <w:spacing w:after="0"/>
              <w:rPr>
                <w:sz w:val="20"/>
                <w:szCs w:val="20"/>
                <w:color w:val="auto"/>
              </w:rPr>
            </w:pPr>
            <w:r>
              <w:rPr>
                <w:rFonts w:ascii="Arial" w:cs="Arial" w:eastAsia="Arial" w:hAnsi="Arial"/>
                <w:sz w:val="18"/>
                <w:szCs w:val="18"/>
                <w:b w:val="1"/>
                <w:bCs w:val="1"/>
                <w:color w:val="auto"/>
                <w:w w:val="92"/>
              </w:rPr>
              <w:t>Deborah R. Conrad</w:t>
            </w:r>
          </w:p>
        </w:tc>
      </w:tr>
      <w:tr>
        <w:trPr>
          <w:trHeight w:val="216"/>
        </w:trPr>
        <w:tc>
          <w:tcPr>
            <w:tcW w:w="3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gridSpan w:val="3"/>
          </w:tcPr>
          <w:p>
            <w:pPr>
              <w:jc w:val="center"/>
              <w:ind w:right="4288"/>
              <w:spacing w:after="0"/>
              <w:rPr>
                <w:sz w:val="20"/>
                <w:szCs w:val="20"/>
                <w:color w:val="auto"/>
              </w:rPr>
            </w:pPr>
            <w:r>
              <w:rPr>
                <w:rFonts w:ascii="Arial" w:cs="Arial" w:eastAsia="Arial" w:hAnsi="Arial"/>
                <w:sz w:val="18"/>
                <w:szCs w:val="18"/>
                <w:b w:val="1"/>
                <w:bCs w:val="1"/>
                <w:color w:val="auto"/>
                <w:w w:val="99"/>
              </w:rPr>
              <w:t>Milbank LLP</w:t>
            </w:r>
          </w:p>
        </w:tc>
      </w:tr>
      <w:tr>
        <w:trPr>
          <w:trHeight w:val="216"/>
        </w:trPr>
        <w:tc>
          <w:tcPr>
            <w:tcW w:w="3880" w:type="dxa"/>
            <w:vAlign w:val="bottom"/>
          </w:tcPr>
          <w:p>
            <w:pPr>
              <w:spacing w:after="0"/>
              <w:rPr>
                <w:sz w:val="18"/>
                <w:szCs w:val="18"/>
                <w:color w:val="auto"/>
              </w:rPr>
            </w:pPr>
          </w:p>
        </w:tc>
        <w:tc>
          <w:tcPr>
            <w:tcW w:w="7160" w:type="dxa"/>
            <w:vAlign w:val="bottom"/>
            <w:gridSpan w:val="4"/>
          </w:tcPr>
          <w:p>
            <w:pPr>
              <w:jc w:val="center"/>
              <w:ind w:right="3828"/>
              <w:spacing w:after="0"/>
              <w:rPr>
                <w:sz w:val="20"/>
                <w:szCs w:val="20"/>
                <w:color w:val="auto"/>
              </w:rPr>
            </w:pPr>
            <w:r>
              <w:rPr>
                <w:rFonts w:ascii="Arial" w:cs="Arial" w:eastAsia="Arial" w:hAnsi="Arial"/>
                <w:sz w:val="18"/>
                <w:szCs w:val="18"/>
                <w:b w:val="1"/>
                <w:bCs w:val="1"/>
                <w:color w:val="auto"/>
                <w:w w:val="92"/>
              </w:rPr>
              <w:t>2029 Century Park East, 33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Floor</w:t>
            </w:r>
          </w:p>
        </w:tc>
      </w:tr>
      <w:tr>
        <w:trPr>
          <w:trHeight w:val="216"/>
        </w:trPr>
        <w:tc>
          <w:tcPr>
            <w:tcW w:w="3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gridSpan w:val="3"/>
          </w:tcPr>
          <w:p>
            <w:pPr>
              <w:jc w:val="center"/>
              <w:ind w:right="4288"/>
              <w:spacing w:after="0"/>
              <w:rPr>
                <w:sz w:val="20"/>
                <w:szCs w:val="20"/>
                <w:color w:val="auto"/>
              </w:rPr>
            </w:pPr>
            <w:r>
              <w:rPr>
                <w:rFonts w:ascii="Arial" w:cs="Arial" w:eastAsia="Arial" w:hAnsi="Arial"/>
                <w:sz w:val="18"/>
                <w:szCs w:val="18"/>
                <w:b w:val="1"/>
                <w:bCs w:val="1"/>
                <w:color w:val="auto"/>
                <w:w w:val="90"/>
              </w:rPr>
              <w:t>Los Angeles, California 90067</w:t>
            </w:r>
          </w:p>
        </w:tc>
      </w:tr>
      <w:tr>
        <w:trPr>
          <w:trHeight w:val="234"/>
        </w:trPr>
        <w:tc>
          <w:tcPr>
            <w:tcW w:w="3880" w:type="dxa"/>
            <w:vAlign w:val="bottom"/>
          </w:tcPr>
          <w:p>
            <w:pPr>
              <w:spacing w:after="0"/>
              <w:rPr>
                <w:sz w:val="20"/>
                <w:szCs w:val="20"/>
                <w:color w:val="auto"/>
              </w:rPr>
            </w:pPr>
          </w:p>
        </w:tc>
        <w:tc>
          <w:tcPr>
            <w:tcW w:w="278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0"/>
              </w:rPr>
              <w:t>(424) 386-4671</w:t>
            </w:r>
          </w:p>
        </w:tc>
        <w:tc>
          <w:tcPr>
            <w:tcW w:w="4380" w:type="dxa"/>
            <w:vAlign w:val="bottom"/>
          </w:tcPr>
          <w:p>
            <w:pPr>
              <w:spacing w:after="0"/>
              <w:rPr>
                <w:sz w:val="20"/>
                <w:szCs w:val="20"/>
                <w:color w:val="auto"/>
              </w:rPr>
            </w:pPr>
          </w:p>
        </w:tc>
      </w:tr>
      <w:tr>
        <w:trPr>
          <w:trHeight w:val="203"/>
        </w:trPr>
        <w:tc>
          <w:tcPr>
            <w:tcW w:w="3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380" w:type="dxa"/>
            <w:vAlign w:val="bottom"/>
          </w:tcPr>
          <w:p>
            <w:pPr>
              <w:spacing w:after="0"/>
              <w:rPr>
                <w:sz w:val="17"/>
                <w:szCs w:val="17"/>
                <w:color w:val="auto"/>
              </w:rPr>
            </w:pPr>
          </w:p>
        </w:tc>
      </w:tr>
      <w:tr>
        <w:trPr>
          <w:trHeight w:val="277"/>
        </w:trPr>
        <w:tc>
          <w:tcPr>
            <w:tcW w:w="3880" w:type="dxa"/>
            <w:vAlign w:val="bottom"/>
          </w:tcPr>
          <w:p>
            <w:pPr>
              <w:spacing w:after="0"/>
              <w:rPr>
                <w:sz w:val="24"/>
                <w:szCs w:val="24"/>
                <w:color w:val="auto"/>
              </w:rPr>
            </w:pPr>
          </w:p>
        </w:tc>
        <w:tc>
          <w:tcPr>
            <w:tcW w:w="7160" w:type="dxa"/>
            <w:vAlign w:val="bottom"/>
            <w:gridSpan w:val="4"/>
          </w:tcPr>
          <w:p>
            <w:pPr>
              <w:jc w:val="center"/>
              <w:ind w:right="3848"/>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38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380" w:type="dxa"/>
            <w:vAlign w:val="bottom"/>
            <w:tcBorders>
              <w:bottom w:val="single" w:sz="8" w:color="auto"/>
            </w:tcBorders>
          </w:tcPr>
          <w:p>
            <w:pPr>
              <w:spacing w:after="0"/>
              <w:rPr>
                <w:sz w:val="7"/>
                <w:szCs w:val="7"/>
                <w:color w:val="auto"/>
              </w:rPr>
            </w:pPr>
          </w:p>
        </w:tc>
      </w:tr>
      <w:tr>
        <w:trPr>
          <w:trHeight w:val="142"/>
        </w:trPr>
        <w:tc>
          <w:tcPr>
            <w:tcW w:w="3880" w:type="dxa"/>
            <w:vAlign w:val="bottom"/>
            <w:tcBorders>
              <w:left w:val="single" w:sz="8" w:color="auto"/>
              <w:bottom w:val="single" w:sz="8" w:color="auto"/>
            </w:tcBorders>
          </w:tcPr>
          <w:p>
            <w:pPr>
              <w:jc w:val="center"/>
              <w:ind w:left="1819"/>
              <w:spacing w:after="0" w:line="142" w:lineRule="exact"/>
              <w:rPr>
                <w:sz w:val="20"/>
                <w:szCs w:val="20"/>
                <w:color w:val="auto"/>
              </w:rPr>
            </w:pPr>
            <w:r>
              <w:rPr>
                <w:rFonts w:ascii="Arial" w:cs="Arial" w:eastAsia="Arial" w:hAnsi="Arial"/>
                <w:sz w:val="14"/>
                <w:szCs w:val="14"/>
                <w:b w:val="1"/>
                <w:bCs w:val="1"/>
                <w:color w:val="auto"/>
                <w:w w:val="93"/>
              </w:rPr>
              <w:t>Transaction Valuation*</w:t>
            </w:r>
          </w:p>
        </w:tc>
        <w:tc>
          <w:tcPr>
            <w:tcW w:w="460" w:type="dxa"/>
            <w:vAlign w:val="bottom"/>
            <w:tcBorders>
              <w:bottom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380" w:type="dxa"/>
            <w:vAlign w:val="bottom"/>
            <w:tcBorders>
              <w:bottom w:val="single" w:sz="8" w:color="auto"/>
              <w:right w:val="single" w:sz="8" w:color="auto"/>
            </w:tcBorders>
          </w:tcPr>
          <w:p>
            <w:pPr>
              <w:jc w:val="center"/>
              <w:ind w:right="928"/>
              <w:spacing w:after="0" w:line="142" w:lineRule="exact"/>
              <w:rPr>
                <w:sz w:val="20"/>
                <w:szCs w:val="20"/>
                <w:color w:val="auto"/>
              </w:rPr>
            </w:pPr>
            <w:r>
              <w:rPr>
                <w:rFonts w:ascii="Arial" w:cs="Arial" w:eastAsia="Arial" w:hAnsi="Arial"/>
                <w:sz w:val="14"/>
                <w:szCs w:val="14"/>
                <w:b w:val="1"/>
                <w:bCs w:val="1"/>
                <w:color w:val="auto"/>
                <w:w w:val="97"/>
              </w:rPr>
              <w:t>Amount of Filing Fee**</w:t>
            </w:r>
          </w:p>
        </w:tc>
      </w:tr>
      <w:tr>
        <w:trPr>
          <w:trHeight w:val="210"/>
        </w:trPr>
        <w:tc>
          <w:tcPr>
            <w:tcW w:w="3880" w:type="dxa"/>
            <w:vAlign w:val="bottom"/>
            <w:tcBorders>
              <w:left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rPr>
              <w:t>$1,139,510,348.73</w:t>
            </w:r>
          </w:p>
        </w:tc>
        <w:tc>
          <w:tcPr>
            <w:tcW w:w="1760" w:type="dxa"/>
            <w:vAlign w:val="bottom"/>
            <w:tcBorders>
              <w:bottom w:val="single" w:sz="8" w:color="auto"/>
              <w:right w:val="single" w:sz="8" w:color="auto"/>
            </w:tcBorders>
            <w:gridSpan w:val="2"/>
          </w:tcPr>
          <w:p>
            <w:pPr>
              <w:spacing w:after="0"/>
              <w:rPr>
                <w:sz w:val="18"/>
                <w:szCs w:val="18"/>
                <w:color w:val="auto"/>
              </w:rPr>
            </w:pPr>
          </w:p>
        </w:tc>
        <w:tc>
          <w:tcPr>
            <w:tcW w:w="5400" w:type="dxa"/>
            <w:vAlign w:val="bottom"/>
            <w:tcBorders>
              <w:bottom w:val="single" w:sz="8" w:color="auto"/>
              <w:right w:val="single" w:sz="8" w:color="auto"/>
            </w:tcBorders>
            <w:gridSpan w:val="2"/>
          </w:tcPr>
          <w:p>
            <w:pPr>
              <w:jc w:val="right"/>
              <w:ind w:right="2168"/>
              <w:spacing w:after="0"/>
              <w:rPr>
                <w:sz w:val="20"/>
                <w:szCs w:val="20"/>
                <w:color w:val="auto"/>
              </w:rPr>
            </w:pPr>
            <w:r>
              <w:rPr>
                <w:rFonts w:ascii="Arial" w:cs="Arial" w:eastAsia="Arial" w:hAnsi="Arial"/>
                <w:sz w:val="18"/>
                <w:szCs w:val="18"/>
                <w:color w:val="auto"/>
              </w:rPr>
              <w:t>$147,908.44</w:t>
            </w:r>
          </w:p>
        </w:tc>
      </w:tr>
    </w:tbl>
    <w:p>
      <w:pPr>
        <w:ind w:left="424" w:right="2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filing fee. The purchase price of the 5.00% Convertible Senior Notes due 2024 (the “</w:t>
      </w:r>
      <w:r>
        <w:rPr>
          <w:rFonts w:ascii="Arial" w:cs="Arial" w:eastAsia="Arial" w:hAnsi="Arial"/>
          <w:sz w:val="18"/>
          <w:szCs w:val="18"/>
          <w:b w:val="1"/>
          <w:bCs w:val="1"/>
          <w:color w:val="auto"/>
        </w:rPr>
        <w:t>Notes</w:t>
      </w:r>
      <w:r>
        <w:rPr>
          <w:rFonts w:ascii="Arial" w:cs="Arial" w:eastAsia="Arial" w:hAnsi="Arial"/>
          <w:sz w:val="18"/>
          <w:szCs w:val="18"/>
          <w:color w:val="auto"/>
        </w:rPr>
        <w:t>”), as described herein, is calculated as the sum of (a) $1,118,080,473.00, representing 100% of the principal amount of the Notes outstanding as of July 17, 2020, plus (b) $21,429,875.73, representing accrued but unpaid interest on the Notes up to, but excluding, August 19, 2020 the repurchase date.</w:t>
      </w:r>
    </w:p>
    <w:p>
      <w:pPr>
        <w:spacing w:after="0" w:line="58" w:lineRule="exact"/>
        <w:rPr>
          <w:sz w:val="24"/>
          <w:szCs w:val="24"/>
          <w:color w:val="auto"/>
        </w:rPr>
      </w:pPr>
    </w:p>
    <w:p>
      <w:pPr>
        <w:ind w:left="424" w:right="36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the filing fee, calculated in accordance with Rule 0-11 of the Securities Exchange Act of 1934, as amended, equals $129.80 for each $1,000,000 of the value of the transaction.</w:t>
      </w:r>
    </w:p>
    <w:p>
      <w:pPr>
        <w:spacing w:after="0" w:line="35" w:lineRule="exact"/>
        <w:rPr>
          <w:sz w:val="24"/>
          <w:szCs w:val="24"/>
          <w:color w:val="auto"/>
        </w:rPr>
      </w:pPr>
    </w:p>
    <w:p>
      <w:pPr>
        <w:ind w:left="424" w:right="32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35" w:lineRule="exact"/>
        <w:rPr>
          <w:sz w:val="24"/>
          <w:szCs w:val="24"/>
          <w:color w:val="auto"/>
        </w:rPr>
      </w:pPr>
    </w:p>
    <w:tbl>
      <w:tblPr>
        <w:tblLayout w:type="fixed"/>
        <w:tblInd w:w="884"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Amount Previously Paid:</w:t>
            </w:r>
          </w:p>
        </w:tc>
        <w:tc>
          <w:tcPr>
            <w:tcW w:w="2180" w:type="dxa"/>
            <w:vAlign w:val="bottom"/>
          </w:tcPr>
          <w:p>
            <w:pPr>
              <w:ind w:left="200"/>
              <w:spacing w:after="0"/>
              <w:rPr>
                <w:sz w:val="20"/>
                <w:szCs w:val="20"/>
                <w:color w:val="auto"/>
              </w:rPr>
            </w:pPr>
            <w:r>
              <w:rPr>
                <w:rFonts w:ascii="Arial" w:cs="Arial" w:eastAsia="Arial" w:hAnsi="Arial"/>
                <w:sz w:val="18"/>
                <w:szCs w:val="18"/>
                <w:color w:val="auto"/>
              </w:rPr>
              <w:t>$147,908.44</w:t>
            </w:r>
          </w:p>
        </w:tc>
        <w:tc>
          <w:tcPr>
            <w:tcW w:w="2140" w:type="dxa"/>
            <w:vAlign w:val="bottom"/>
          </w:tcPr>
          <w:p>
            <w:pPr>
              <w:ind w:left="1100"/>
              <w:spacing w:after="0"/>
              <w:rPr>
                <w:sz w:val="20"/>
                <w:szCs w:val="20"/>
                <w:color w:val="auto"/>
              </w:rPr>
            </w:pPr>
            <w:r>
              <w:rPr>
                <w:rFonts w:ascii="Arial" w:cs="Arial" w:eastAsia="Arial" w:hAnsi="Arial"/>
                <w:sz w:val="18"/>
                <w:szCs w:val="18"/>
                <w:color w:val="auto"/>
              </w:rPr>
              <w:t>Filing Party:</w:t>
            </w:r>
          </w:p>
        </w:tc>
        <w:tc>
          <w:tcPr>
            <w:tcW w:w="1760" w:type="dxa"/>
            <w:vAlign w:val="bottom"/>
          </w:tcPr>
          <w:p>
            <w:pPr>
              <w:ind w:left="140"/>
              <w:spacing w:after="0"/>
              <w:rPr>
                <w:sz w:val="20"/>
                <w:szCs w:val="20"/>
                <w:color w:val="auto"/>
              </w:rPr>
            </w:pPr>
            <w:r>
              <w:rPr>
                <w:rFonts w:ascii="Arial" w:cs="Arial" w:eastAsia="Arial" w:hAnsi="Arial"/>
                <w:sz w:val="18"/>
                <w:szCs w:val="18"/>
                <w:color w:val="auto"/>
                <w:w w:val="88"/>
              </w:rPr>
              <w:t>Caesars Holdings, Inc.</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Form of Registration No.</w:t>
            </w:r>
          </w:p>
        </w:tc>
        <w:tc>
          <w:tcPr>
            <w:tcW w:w="2180" w:type="dxa"/>
            <w:vAlign w:val="bottom"/>
          </w:tcPr>
          <w:p>
            <w:pPr>
              <w:ind w:left="200"/>
              <w:spacing w:after="0"/>
              <w:rPr>
                <w:sz w:val="20"/>
                <w:szCs w:val="20"/>
                <w:color w:val="auto"/>
              </w:rPr>
            </w:pPr>
            <w:r>
              <w:rPr>
                <w:rFonts w:ascii="Arial" w:cs="Arial" w:eastAsia="Arial" w:hAnsi="Arial"/>
                <w:sz w:val="18"/>
                <w:szCs w:val="18"/>
                <w:color w:val="auto"/>
              </w:rPr>
              <w:t>005-41450</w:t>
            </w:r>
          </w:p>
        </w:tc>
        <w:tc>
          <w:tcPr>
            <w:tcW w:w="2140" w:type="dxa"/>
            <w:vAlign w:val="bottom"/>
          </w:tcPr>
          <w:p>
            <w:pPr>
              <w:ind w:left="1100"/>
              <w:spacing w:after="0"/>
              <w:rPr>
                <w:sz w:val="20"/>
                <w:szCs w:val="20"/>
                <w:color w:val="auto"/>
              </w:rPr>
            </w:pPr>
            <w:r>
              <w:rPr>
                <w:rFonts w:ascii="Arial" w:cs="Arial" w:eastAsia="Arial" w:hAnsi="Arial"/>
                <w:sz w:val="18"/>
                <w:szCs w:val="18"/>
                <w:color w:val="auto"/>
              </w:rPr>
              <w:t>Date Filed:</w:t>
            </w:r>
          </w:p>
        </w:tc>
        <w:tc>
          <w:tcPr>
            <w:tcW w:w="1760" w:type="dxa"/>
            <w:vAlign w:val="bottom"/>
          </w:tcPr>
          <w:p>
            <w:pPr>
              <w:ind w:left="140"/>
              <w:spacing w:after="0"/>
              <w:rPr>
                <w:sz w:val="20"/>
                <w:szCs w:val="20"/>
                <w:color w:val="auto"/>
              </w:rPr>
            </w:pPr>
            <w:r>
              <w:rPr>
                <w:rFonts w:ascii="Arial" w:cs="Arial" w:eastAsia="Arial" w:hAnsi="Arial"/>
                <w:sz w:val="18"/>
                <w:szCs w:val="18"/>
                <w:color w:val="auto"/>
              </w:rPr>
              <w:t>July 21, 2020</w:t>
            </w:r>
          </w:p>
        </w:tc>
      </w:tr>
    </w:tbl>
    <w:p>
      <w:pPr>
        <w:spacing w:after="0" w:line="67" w:lineRule="exact"/>
        <w:rPr>
          <w:sz w:val="24"/>
          <w:szCs w:val="24"/>
          <w:color w:val="auto"/>
        </w:rPr>
      </w:pPr>
    </w:p>
    <w:p>
      <w:pPr>
        <w:ind w:left="984" w:right="1780" w:hanging="984"/>
        <w:spacing w:after="0" w:line="336" w:lineRule="auto"/>
        <w:tabs>
          <w:tab w:leader="none" w:pos="425"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rFonts w:ascii="MS PGothic" w:cs="MS PGothic" w:eastAsia="MS PGothic" w:hAnsi="MS PGothic"/>
          <w:sz w:val="17"/>
          <w:szCs w:val="17"/>
          <w:color w:val="auto"/>
        </w:rPr>
      </w:pPr>
    </w:p>
    <w:p>
      <w:pPr>
        <w:ind w:left="1964" w:hanging="533"/>
        <w:spacing w:after="0"/>
        <w:tabs>
          <w:tab w:leader="none" w:pos="1964"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90" w:lineRule="exact"/>
        <w:rPr>
          <w:sz w:val="24"/>
          <w:szCs w:val="24"/>
          <w:color w:val="auto"/>
        </w:rPr>
      </w:pPr>
    </w:p>
    <w:p>
      <w:pPr>
        <w:ind w:left="1964" w:hanging="533"/>
        <w:spacing w:after="0"/>
        <w:tabs>
          <w:tab w:leader="none" w:pos="19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90" w:lineRule="exact"/>
        <w:rPr>
          <w:sz w:val="24"/>
          <w:szCs w:val="24"/>
          <w:color w:val="auto"/>
        </w:rPr>
      </w:pPr>
    </w:p>
    <w:p>
      <w:pPr>
        <w:ind w:left="1964" w:hanging="533"/>
        <w:spacing w:after="0"/>
        <w:tabs>
          <w:tab w:leader="none" w:pos="196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0" w:lineRule="exact"/>
        <w:rPr>
          <w:rFonts w:ascii="MS PGothic" w:cs="MS PGothic" w:eastAsia="MS PGothic" w:hAnsi="MS PGothic"/>
          <w:sz w:val="18"/>
          <w:szCs w:val="18"/>
          <w:color w:val="auto"/>
        </w:rPr>
      </w:pPr>
    </w:p>
    <w:p>
      <w:pPr>
        <w:ind w:left="1964" w:hanging="533"/>
        <w:spacing w:after="0"/>
        <w:tabs>
          <w:tab w:leader="none" w:pos="196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57" w:lineRule="exact"/>
        <w:rPr>
          <w:sz w:val="24"/>
          <w:szCs w:val="24"/>
          <w:color w:val="auto"/>
        </w:rPr>
      </w:pPr>
    </w:p>
    <w:p>
      <w:pPr>
        <w:ind w:left="984"/>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10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Amendment (the “</w:t>
      </w:r>
      <w:r>
        <w:rPr>
          <w:rFonts w:ascii="Arial" w:cs="Arial" w:eastAsia="Arial" w:hAnsi="Arial"/>
          <w:sz w:val="16"/>
          <w:szCs w:val="16"/>
          <w:b w:val="1"/>
          <w:bCs w:val="1"/>
          <w:color w:val="auto"/>
        </w:rPr>
        <w:t>Amendment</w:t>
      </w:r>
      <w:r>
        <w:rPr>
          <w:rFonts w:ascii="Arial" w:cs="Arial" w:eastAsia="Arial" w:hAnsi="Arial"/>
          <w:sz w:val="16"/>
          <w:szCs w:val="16"/>
          <w:color w:val="auto"/>
        </w:rPr>
        <w:t>”) amends and supplements the Tender Offer Statement on Schedule TO, initially filed by Caesars Holdings, Inc., a Delaware corporation formerly known as Caesars Entertainment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on July 21, 2020 (the “</w:t>
      </w:r>
      <w:r>
        <w:rPr>
          <w:rFonts w:ascii="Arial" w:cs="Arial" w:eastAsia="Arial" w:hAnsi="Arial"/>
          <w:sz w:val="16"/>
          <w:szCs w:val="16"/>
          <w:b w:val="1"/>
          <w:bCs w:val="1"/>
          <w:color w:val="auto"/>
        </w:rPr>
        <w:t>Schedule TO</w:t>
      </w:r>
      <w:r>
        <w:rPr>
          <w:rFonts w:ascii="Arial" w:cs="Arial" w:eastAsia="Arial" w:hAnsi="Arial"/>
          <w:sz w:val="16"/>
          <w:szCs w:val="16"/>
          <w:color w:val="auto"/>
        </w:rPr>
        <w:t>”).</w:t>
      </w:r>
    </w:p>
    <w:p>
      <w:pPr>
        <w:spacing w:after="0" w:line="116" w:lineRule="exact"/>
        <w:rPr>
          <w:sz w:val="20"/>
          <w:szCs w:val="20"/>
          <w:color w:val="auto"/>
        </w:rPr>
      </w:pPr>
    </w:p>
    <w:p>
      <w:pPr>
        <w:ind w:right="60" w:firstLine="440"/>
        <w:spacing w:after="0" w:line="284" w:lineRule="auto"/>
        <w:rPr>
          <w:sz w:val="20"/>
          <w:szCs w:val="20"/>
          <w:color w:val="auto"/>
        </w:rPr>
      </w:pPr>
      <w:r>
        <w:rPr>
          <w:rFonts w:ascii="Arial" w:cs="Arial" w:eastAsia="Arial" w:hAnsi="Arial"/>
          <w:sz w:val="16"/>
          <w:szCs w:val="16"/>
          <w:color w:val="auto"/>
        </w:rPr>
        <w:t>As required by the Indenture, dated as of October 6, 2017 (the “</w:t>
      </w:r>
      <w:r>
        <w:rPr>
          <w:rFonts w:ascii="Arial" w:cs="Arial" w:eastAsia="Arial" w:hAnsi="Arial"/>
          <w:sz w:val="16"/>
          <w:szCs w:val="16"/>
          <w:b w:val="1"/>
          <w:bCs w:val="1"/>
          <w:color w:val="auto"/>
        </w:rPr>
        <w:t>Original Indenture</w:t>
      </w:r>
      <w:r>
        <w:rPr>
          <w:rFonts w:ascii="Arial" w:cs="Arial" w:eastAsia="Arial" w:hAnsi="Arial"/>
          <w:sz w:val="16"/>
          <w:szCs w:val="16"/>
          <w:color w:val="auto"/>
        </w:rPr>
        <w:t>”), between the Company and Delaware Trust Company,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27, 2019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between the Company and the Trustee and the Second Supplemental Indenture, dated as of July 20, 2020, among the Company, Caesars Entertainment, Inc., a Delaware corporation formerly known as Eldorado Resorts, Inc. (“</w:t>
      </w:r>
      <w:r>
        <w:rPr>
          <w:rFonts w:ascii="Arial" w:cs="Arial" w:eastAsia="Arial" w:hAnsi="Arial"/>
          <w:sz w:val="16"/>
          <w:szCs w:val="16"/>
          <w:b w:val="1"/>
          <w:bCs w:val="1"/>
          <w:color w:val="auto"/>
        </w:rPr>
        <w:t>Parent</w:t>
      </w:r>
      <w:r>
        <w:rPr>
          <w:rFonts w:ascii="Arial" w:cs="Arial" w:eastAsia="Arial" w:hAnsi="Arial"/>
          <w:sz w:val="16"/>
          <w:szCs w:val="16"/>
          <w:color w:val="auto"/>
        </w:rPr>
        <w:t>”), and the Trustee (the “</w:t>
      </w:r>
      <w:r>
        <w:rPr>
          <w:rFonts w:ascii="Arial" w:cs="Arial" w:eastAsia="Arial" w:hAnsi="Arial"/>
          <w:sz w:val="16"/>
          <w:szCs w:val="16"/>
          <w:b w:val="1"/>
          <w:bCs w:val="1"/>
          <w:color w:val="auto"/>
        </w:rPr>
        <w:t>Second Supplemental Indenture</w:t>
      </w:r>
      <w:r>
        <w:rPr>
          <w:rFonts w:ascii="Arial" w:cs="Arial" w:eastAsia="Arial" w:hAnsi="Arial"/>
          <w:sz w:val="16"/>
          <w:szCs w:val="16"/>
          <w:color w:val="auto"/>
        </w:rPr>
        <w:t>,” and the Original Indenture together with the First Supplemental Indenture and the Second Supplemental Indenture, the “</w:t>
      </w:r>
      <w:r>
        <w:rPr>
          <w:rFonts w:ascii="Arial" w:cs="Arial" w:eastAsia="Arial" w:hAnsi="Arial"/>
          <w:sz w:val="16"/>
          <w:szCs w:val="16"/>
          <w:b w:val="1"/>
          <w:bCs w:val="1"/>
          <w:color w:val="auto"/>
        </w:rPr>
        <w:t>Indenture</w:t>
      </w:r>
      <w:r>
        <w:rPr>
          <w:rFonts w:ascii="Arial" w:cs="Arial" w:eastAsia="Arial" w:hAnsi="Arial"/>
          <w:sz w:val="16"/>
          <w:szCs w:val="16"/>
          <w:color w:val="auto"/>
        </w:rPr>
        <w:t>”), relating to the Company’s 5.00% Convertible Senior Notes due 2024 (the “</w:t>
      </w:r>
      <w:r>
        <w:rPr>
          <w:rFonts w:ascii="Arial" w:cs="Arial" w:eastAsia="Arial" w:hAnsi="Arial"/>
          <w:sz w:val="16"/>
          <w:szCs w:val="16"/>
          <w:b w:val="1"/>
          <w:bCs w:val="1"/>
          <w:color w:val="auto"/>
        </w:rPr>
        <w:t>Notes</w:t>
      </w:r>
      <w:r>
        <w:rPr>
          <w:rFonts w:ascii="Arial" w:cs="Arial" w:eastAsia="Arial" w:hAnsi="Arial"/>
          <w:sz w:val="16"/>
          <w:szCs w:val="16"/>
          <w:color w:val="auto"/>
        </w:rPr>
        <w:t>”), the Schedule TO was filed by the Company with respect to the right of each holder (each, a “</w:t>
      </w:r>
      <w:r>
        <w:rPr>
          <w:rFonts w:ascii="Arial" w:cs="Arial" w:eastAsia="Arial" w:hAnsi="Arial"/>
          <w:sz w:val="16"/>
          <w:szCs w:val="16"/>
          <w:b w:val="1"/>
          <w:bCs w:val="1"/>
          <w:color w:val="auto"/>
        </w:rPr>
        <w:t>Holder</w:t>
      </w:r>
      <w:r>
        <w:rPr>
          <w:rFonts w:ascii="Arial" w:cs="Arial" w:eastAsia="Arial" w:hAnsi="Arial"/>
          <w:sz w:val="16"/>
          <w:szCs w:val="16"/>
          <w:color w:val="auto"/>
        </w:rPr>
        <w:t>”) of the Notes to require the Company to repurchase, at the Holder’s option, 100% of the principal amount of the Notes, plus accrued and unpaid interest thereon to, but excluding August 19, 2020, pursuant to the terms and conditions of (i) the Offer to Purchase and Notice of Fundamental Change Notice, Make-Whole Fundamental Change and Entry into Supplemental Indenture, dated July 21, 2020 (the “</w:t>
      </w:r>
      <w:r>
        <w:rPr>
          <w:rFonts w:ascii="Arial" w:cs="Arial" w:eastAsia="Arial" w:hAnsi="Arial"/>
          <w:sz w:val="16"/>
          <w:szCs w:val="16"/>
          <w:b w:val="1"/>
          <w:bCs w:val="1"/>
          <w:color w:val="auto"/>
        </w:rPr>
        <w:t>Notice</w:t>
      </w:r>
      <w:r>
        <w:rPr>
          <w:rFonts w:ascii="Arial" w:cs="Arial" w:eastAsia="Arial" w:hAnsi="Arial"/>
          <w:sz w:val="16"/>
          <w:szCs w:val="16"/>
          <w:color w:val="auto"/>
        </w:rPr>
        <w:t>”), attached as Exhibit (a)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to the Schedule TO, (ii) the Indenture and (iii) the Notes.</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information in the Notice is hereby expressly incorporated by reference into this Amendment, except that such information is hereby amended and supplement to the extent specifically provided herein.</w:t>
      </w:r>
    </w:p>
    <w:p>
      <w:pPr>
        <w:spacing w:after="0" w:line="170"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This Schedule TO is intended to satisfy the disclosure requirements of Rules 13e-4(c)(2) and 13e-4(d)(1) under the Securities Exchange Act of 1934, as amended. Pursuant to General Instruction F to Schedule TO, all of the information set forth in the Notice is hereby expressly incorporated herein by reference in response to Items 1 through 9 and Item 11 of this Schedule TO. All capitalized terms used but not specifically defined in this Schedule TO have the meanings given to such terms in the Notice.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through 9, and Item 11.</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Items 1 through 9, and Item 11 are hereby amended and supplemented by adding the following text at the end thereof:</w:t>
      </w:r>
    </w:p>
    <w:p>
      <w:pPr>
        <w:spacing w:after="0" w:line="221"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In accordance with the terms of the Notice, the offer to purchase expired at 5:00 p.m. New York City time, on August 18, 2020 (the “</w:t>
      </w:r>
      <w:r>
        <w:rPr>
          <w:rFonts w:ascii="Arial" w:cs="Arial" w:eastAsia="Arial" w:hAnsi="Arial"/>
          <w:sz w:val="18"/>
          <w:szCs w:val="18"/>
          <w:b w:val="1"/>
          <w:bCs w:val="1"/>
          <w:color w:val="auto"/>
        </w:rPr>
        <w:t>Expiration</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 and was not extended. The Trustee has informed the Company that as of the Expiration Time, $158,514 aggregate principal amount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were validly tendered (and not properly withdrawn) for purchase.</w:t>
      </w:r>
    </w:p>
    <w:p>
      <w:pPr>
        <w:sectPr>
          <w:pgSz w:w="11900" w:h="16838" w:orient="portrait"/>
          <w:cols w:equalWidth="0" w:num="1">
            <w:col w:w="11000"/>
          </w:cols>
          <w:pgMar w:left="440" w:top="270" w:right="4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Caesars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Edmund L. Quatmann, Jr.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Executive Vice President, Chief Legal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2020</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2020-08-20T15:32:31Z</dcterms:created>
  <dcterms:modified xsi:type="dcterms:W3CDTF">2020-08-20T15:32:31Z</dcterms:modified>
</cp:coreProperties>
</file>