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28,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CAESARS ENTERTAINMENT,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209" w:type="dxa"/>
        <w:jc w:val="center"/>
        <w:tblInd w:w="0" w:type="dxa"/>
        <w:tblLayout w:type="fixed"/>
        <w:tblCellMar>
          <w:top w:w="28" w:type="dxa"/>
          <w:left w:w="28" w:type="dxa"/>
          <w:bottom w:w="28" w:type="dxa"/>
          <w:right w:w="28" w:type="dxa"/>
        </w:tblCellMar>
      </w:tblPr>
      <w:tblGrid>
        <w:gridCol w:w="726"/>
        <w:gridCol w:w="638"/>
        <w:gridCol w:w="645"/>
        <w:gridCol w:w="109"/>
        <w:gridCol w:w="109"/>
        <w:gridCol w:w="109"/>
        <w:gridCol w:w="253"/>
        <w:gridCol w:w="253"/>
        <w:gridCol w:w="253"/>
        <w:gridCol w:w="253"/>
        <w:gridCol w:w="253"/>
        <w:gridCol w:w="253"/>
        <w:gridCol w:w="253"/>
        <w:gridCol w:w="253"/>
        <w:gridCol w:w="267"/>
        <w:gridCol w:w="109"/>
        <w:gridCol w:w="109"/>
        <w:gridCol w:w="109"/>
        <w:gridCol w:w="950"/>
        <w:gridCol w:w="950"/>
        <w:gridCol w:w="1355"/>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46-3657681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 West Liberty Street, 12th Floor, Reno, Nevada 89501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(775) 328-0100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87" w:type="dxa"/>
        <w:jc w:val="center"/>
        <w:tblInd w:w="0" w:type="dxa"/>
        <w:tblLayout w:type="fixed"/>
        <w:tblCellMar>
          <w:top w:w="28" w:type="dxa"/>
          <w:left w:w="28" w:type="dxa"/>
          <w:bottom w:w="28" w:type="dxa"/>
          <w:right w:w="28" w:type="dxa"/>
        </w:tblCellMar>
      </w:tblPr>
      <w:tblGrid>
        <w:gridCol w:w="1089"/>
        <w:gridCol w:w="957"/>
        <w:gridCol w:w="968"/>
        <w:gridCol w:w="109"/>
        <w:gridCol w:w="109"/>
        <w:gridCol w:w="109"/>
        <w:gridCol w:w="564"/>
        <w:gridCol w:w="564"/>
        <w:gridCol w:w="566"/>
        <w:gridCol w:w="109"/>
        <w:gridCol w:w="109"/>
        <w:gridCol w:w="109"/>
        <w:gridCol w:w="1118"/>
        <w:gridCol w:w="1118"/>
        <w:gridCol w:w="1589"/>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CZR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Attached and incorporated herein by reference as Exhibit 99.1 is a copy of the press release of the Registrant, dated July 28, 2026, reporting the Registrant’s financial results for the quarter ended June 30, 2026.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the exhibit furnished herewith, shall not be deemed “filed” for purposes of Section 18 of the Securities Exchange Act of 1934, as amended, or otherwise incorporated by reference in any filing pursuant to the Securities Act of 1933, as amended, or the Securities Exchange Act of 1934, as amended, except as shall be expressly set forth by specific reference in such a filing. The furnishing of the information in this report, including the exhibit furnished herewith, is not intended to, and does not, constitute a determination or admission as to the materiality or completeness of such information.</w:t>
      </w:r>
    </w:p>
    <w:p>
      <w:pPr>
        <w:pStyle w:val="TextBody"/>
        <w:bidi w:val="0"/>
        <w:spacing w:lineRule="auto" w:line="288" w:before="180" w:after="283"/>
        <w:jc w:val="left"/>
        <w:rPr/>
      </w:pPr>
      <w:r>
        <w:rPr>
          <w:rFonts w:ascii="Times New Roman;serif" w:hAnsi="Times New Roman;serif"/>
          <w:b/>
          <w:color w:val="000000"/>
          <w:sz w:val="20"/>
        </w:rPr>
        <w:t>Item 9.01    </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 is being filed herewith:</w:t>
      </w:r>
    </w:p>
    <w:p>
      <w:pPr>
        <w:pStyle w:val="TextBody"/>
        <w:bidi w:val="0"/>
        <w:spacing w:lineRule="auto" w:line="288" w:before="180" w:after="283"/>
        <w:jc w:val="left"/>
        <w:rPr/>
      </w:pPr>
      <w:r>
        <w:rPr>
          <w:rFonts w:ascii="Times New Roman;serif" w:hAnsi="Times New Roman;serif"/>
          <w:b w:val="false"/>
          <w:color w:val="000000"/>
          <w:sz w:val="20"/>
        </w:rPr>
        <w:t>99.1    </w:t>
      </w:r>
      <w:hyperlink w:anchor="ex991-2026q2ceiearningsrel.htm">
        <w:r>
          <w:rPr>
            <w:rStyle w:val="InternetLink"/>
            <w:rFonts w:ascii="Times New Roman;serif" w:hAnsi="Times New Roman;serif"/>
            <w:b w:val="false"/>
            <w:color w:val="0000FF"/>
            <w:sz w:val="20"/>
            <w:u w:val="single"/>
          </w:rPr>
          <w:t>Press release dated July 28, 2026</w:t>
        </w:r>
      </w:hyperlink>
      <w:r>
        <w:rPr>
          <w:rFonts w:ascii="Times New Roman;serif" w:hAnsi="Times New Roman;serif"/>
          <w:b w:val="false"/>
          <w:color w:val="000000"/>
          <w:sz w:val="20"/>
        </w:rPr>
        <w: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0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335"/>
        <w:gridCol w:w="335"/>
        <w:gridCol w:w="335"/>
        <w:gridCol w:w="335"/>
        <w:gridCol w:w="335"/>
        <w:gridCol w:w="335"/>
        <w:gridCol w:w="558"/>
        <w:gridCol w:w="558"/>
        <w:gridCol w:w="8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ENTERTAINMENT,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R. Reeg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Thomas R. Reeg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center"/>
        <w:rPr/>
      </w:pPr>
      <w:r>
        <w:rPr/>
        <w:drawing>
          <wp:inline distT="0" distB="0" distL="0" distR="0">
            <wp:extent cx="2371725" cy="1333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71725" cy="13335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Caesars Entertainment, Inc. Reports Second Quarter 2026 Results</w:t>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color w:val="000000"/>
          <w:sz w:val="24"/>
        </w:rPr>
        <w:t>LAS VEGAS and RENO, Nev. (July 28, 2026)</w:t>
      </w:r>
      <w:r>
        <w:rPr>
          <w:color w:val="000000"/>
        </w:rPr>
        <w:t xml:space="preserve"> – </w:t>
      </w:r>
      <w:r>
        <w:rPr>
          <w:rFonts w:ascii="Arial;sans-serif" w:hAnsi="Arial;sans-serif"/>
          <w:b w:val="false"/>
          <w:color w:val="000000"/>
          <w:sz w:val="20"/>
        </w:rPr>
        <w:t>Caesars Entertainment, Inc., (NASDAQ: CZR) (“Caesars,” “CZR,” “CEI” or the “Company”) today reported operating results for the second quarter ended June 30, 2026.</w:t>
      </w:r>
    </w:p>
    <w:p>
      <w:pPr>
        <w:pStyle w:val="TextBody"/>
        <w:bidi w:val="0"/>
        <w:spacing w:lineRule="auto" w:line="288" w:before="180" w:after="283"/>
        <w:jc w:val="both"/>
        <w:rPr>
          <w:rFonts w:ascii="Arial;sans-serif" w:hAnsi="Arial;sans-serif"/>
          <w:b/>
          <w:color w:val="000000"/>
          <w:sz w:val="24"/>
        </w:rPr>
      </w:pPr>
      <w:r>
        <w:rPr>
          <w:rFonts w:ascii="Arial;sans-serif" w:hAnsi="Arial;sans-serif"/>
          <w:b/>
          <w:color w:val="000000"/>
          <w:sz w:val="24"/>
        </w:rPr>
        <w:t>Second Quarter 2026 and Recent Highlights:</w:t>
      </w:r>
    </w:p>
    <w:p>
      <w:pPr>
        <w:pStyle w:val="TextBody"/>
        <w:bidi w:val="0"/>
        <w:spacing w:lineRule="auto" w:line="288" w:before="100" w:after="283"/>
        <w:ind w:left="0" w:right="0" w:hanging="360"/>
        <w:jc w:val="both"/>
        <w:rPr/>
      </w:pPr>
      <w:r>
        <w:rPr>
          <w:color w:val="000000"/>
        </w:rPr>
        <w:t>•</w:t>
      </w:r>
      <w:r>
        <w:rPr>
          <w:rFonts w:ascii="Arial;sans-serif" w:hAnsi="Arial;sans-serif"/>
          <w:b w:val="false"/>
          <w:color w:val="000000"/>
          <w:sz w:val="20"/>
        </w:rPr>
        <w:t>GAAP net revenues of $3.0 billion versus $2.9 billion for the comparable prior-year period.</w:t>
      </w:r>
    </w:p>
    <w:p>
      <w:pPr>
        <w:pStyle w:val="TextBody"/>
        <w:bidi w:val="0"/>
        <w:spacing w:lineRule="auto" w:line="288" w:before="100" w:after="283"/>
        <w:ind w:left="0" w:right="0" w:hanging="360"/>
        <w:jc w:val="both"/>
        <w:rPr/>
      </w:pPr>
      <w:r>
        <w:rPr>
          <w:color w:val="000000"/>
        </w:rPr>
        <w:t>•</w:t>
      </w:r>
      <w:r>
        <w:rPr>
          <w:rFonts w:ascii="Arial;sans-serif" w:hAnsi="Arial;sans-serif"/>
          <w:b w:val="false"/>
          <w:color w:val="000000"/>
          <w:sz w:val="20"/>
        </w:rPr>
        <w:t>GAAP net loss of $62 million compared to a net loss of $82 million for the comparable prior-year period.</w:t>
      </w:r>
    </w:p>
    <w:p>
      <w:pPr>
        <w:pStyle w:val="TextBody"/>
        <w:bidi w:val="0"/>
        <w:spacing w:lineRule="auto" w:line="288" w:before="100" w:after="283"/>
        <w:ind w:left="0" w:right="0" w:hanging="360"/>
        <w:jc w:val="both"/>
        <w:rPr/>
      </w:pPr>
      <w:r>
        <w:rPr>
          <w:color w:val="000000"/>
        </w:rPr>
        <w:t>•</w:t>
      </w:r>
      <w:r>
        <w:rPr>
          <w:rFonts w:ascii="Arial;sans-serif" w:hAnsi="Arial;sans-serif"/>
          <w:b w:val="false"/>
          <w:color w:val="000000"/>
          <w:sz w:val="20"/>
        </w:rPr>
        <w:t>Consolidated Adjusted EBITDA of $920 million versus $955 million for the comparable prior-year period.</w:t>
      </w:r>
    </w:p>
    <w:p>
      <w:pPr>
        <w:pStyle w:val="TextBody"/>
        <w:bidi w:val="0"/>
        <w:spacing w:lineRule="auto" w:line="288" w:before="100" w:after="283"/>
        <w:ind w:left="0" w:right="0" w:hanging="360"/>
        <w:jc w:val="both"/>
        <w:rPr/>
      </w:pPr>
      <w:r>
        <w:rPr>
          <w:color w:val="000000"/>
        </w:rPr>
        <w:t>•</w:t>
      </w:r>
      <w:r>
        <w:rPr>
          <w:rFonts w:ascii="Arial;sans-serif" w:hAnsi="Arial;sans-serif"/>
          <w:b w:val="false"/>
          <w:color w:val="000000"/>
          <w:sz w:val="20"/>
        </w:rPr>
        <w:t xml:space="preserve">Caesars Digital Adjusted EBITDA of $68 million versus $80 million for the comparable prior-year period. </w:t>
      </w:r>
    </w:p>
    <w:p>
      <w:pPr>
        <w:pStyle w:val="TextBody"/>
        <w:bidi w:val="0"/>
        <w:spacing w:lineRule="auto" w:line="288" w:before="180" w:after="283"/>
        <w:jc w:val="both"/>
        <w:rPr>
          <w:rFonts w:ascii="Arial;sans-serif" w:hAnsi="Arial;sans-serif"/>
          <w:b/>
          <w:color w:val="000000"/>
          <w:sz w:val="24"/>
        </w:rPr>
      </w:pPr>
      <w:r>
        <w:rPr>
          <w:rFonts w:ascii="Arial;sans-serif" w:hAnsi="Arial;sans-serif"/>
          <w:b/>
          <w:color w:val="000000"/>
          <w:sz w:val="24"/>
        </w:rPr>
        <w:t>Second Quarter 2026 Financial Results Summary and Segment Information</w:t>
      </w:r>
    </w:p>
    <w:tbl>
      <w:tblPr>
        <w:tblW w:w="6162" w:type="dxa"/>
        <w:jc w:val="left"/>
        <w:tblInd w:w="0" w:type="dxa"/>
        <w:tblLayout w:type="fixed"/>
        <w:tblCellMar>
          <w:top w:w="28" w:type="dxa"/>
          <w:left w:w="28" w:type="dxa"/>
          <w:bottom w:w="28" w:type="dxa"/>
          <w:right w:w="28" w:type="dxa"/>
        </w:tblCellMar>
      </w:tblPr>
      <w:tblGrid>
        <w:gridCol w:w="729"/>
        <w:gridCol w:w="640"/>
        <w:gridCol w:w="641"/>
        <w:gridCol w:w="211"/>
        <w:gridCol w:w="616"/>
        <w:gridCol w:w="109"/>
        <w:gridCol w:w="109"/>
        <w:gridCol w:w="109"/>
        <w:gridCol w:w="109"/>
        <w:gridCol w:w="211"/>
        <w:gridCol w:w="616"/>
        <w:gridCol w:w="109"/>
        <w:gridCol w:w="109"/>
        <w:gridCol w:w="109"/>
        <w:gridCol w:w="109"/>
        <w:gridCol w:w="109"/>
        <w:gridCol w:w="109"/>
        <w:gridCol w:w="109"/>
        <w:gridCol w:w="109"/>
        <w:gridCol w:w="291"/>
        <w:gridCol w:w="294"/>
        <w:gridCol w:w="605"/>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Net 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517"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Las Vegas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 Digital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and Branded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6162" w:type="dxa"/>
        <w:jc w:val="left"/>
        <w:tblInd w:w="0" w:type="dxa"/>
        <w:tblLayout w:type="fixed"/>
        <w:tblCellMar>
          <w:top w:w="28" w:type="dxa"/>
          <w:left w:w="28" w:type="dxa"/>
          <w:bottom w:w="28" w:type="dxa"/>
          <w:right w:w="28" w:type="dxa"/>
        </w:tblCellMar>
      </w:tblPr>
      <w:tblGrid>
        <w:gridCol w:w="729"/>
        <w:gridCol w:w="640"/>
        <w:gridCol w:w="641"/>
        <w:gridCol w:w="211"/>
        <w:gridCol w:w="616"/>
        <w:gridCol w:w="109"/>
        <w:gridCol w:w="109"/>
        <w:gridCol w:w="109"/>
        <w:gridCol w:w="109"/>
        <w:gridCol w:w="211"/>
        <w:gridCol w:w="616"/>
        <w:gridCol w:w="109"/>
        <w:gridCol w:w="109"/>
        <w:gridCol w:w="109"/>
        <w:gridCol w:w="109"/>
        <w:gridCol w:w="109"/>
        <w:gridCol w:w="109"/>
        <w:gridCol w:w="109"/>
        <w:gridCol w:w="109"/>
        <w:gridCol w:w="291"/>
        <w:gridCol w:w="294"/>
        <w:gridCol w:w="605"/>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Net 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517"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Las Vegas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 Digital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and Branded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8112" w:type="dxa"/>
        <w:jc w:val="left"/>
        <w:tblInd w:w="0" w:type="dxa"/>
        <w:tblLayout w:type="fixed"/>
        <w:tblCellMar>
          <w:top w:w="28" w:type="dxa"/>
          <w:left w:w="28" w:type="dxa"/>
          <w:bottom w:w="28" w:type="dxa"/>
          <w:right w:w="28" w:type="dxa"/>
        </w:tblCellMar>
      </w:tblPr>
      <w:tblGrid>
        <w:gridCol w:w="1439"/>
        <w:gridCol w:w="1263"/>
        <w:gridCol w:w="1272"/>
        <w:gridCol w:w="237"/>
        <w:gridCol w:w="524"/>
        <w:gridCol w:w="122"/>
        <w:gridCol w:w="122"/>
        <w:gridCol w:w="122"/>
        <w:gridCol w:w="122"/>
        <w:gridCol w:w="237"/>
        <w:gridCol w:w="524"/>
        <w:gridCol w:w="122"/>
        <w:gridCol w:w="122"/>
        <w:gridCol w:w="122"/>
        <w:gridCol w:w="122"/>
        <w:gridCol w:w="122"/>
        <w:gridCol w:w="109"/>
        <w:gridCol w:w="109"/>
        <w:gridCol w:w="109"/>
        <w:gridCol w:w="293"/>
        <w:gridCol w:w="293"/>
        <w:gridCol w:w="605"/>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Net Income (Loss) Attributable to Caesars</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Las Vegas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 Digital</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and Branded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7910" w:type="dxa"/>
        <w:jc w:val="left"/>
        <w:tblInd w:w="0" w:type="dxa"/>
        <w:tblLayout w:type="fixed"/>
        <w:tblCellMar>
          <w:top w:w="28" w:type="dxa"/>
          <w:left w:w="28" w:type="dxa"/>
          <w:bottom w:w="28" w:type="dxa"/>
          <w:right w:w="28" w:type="dxa"/>
        </w:tblCellMar>
      </w:tblPr>
      <w:tblGrid>
        <w:gridCol w:w="730"/>
        <w:gridCol w:w="640"/>
        <w:gridCol w:w="640"/>
        <w:gridCol w:w="548"/>
        <w:gridCol w:w="1405"/>
        <w:gridCol w:w="283"/>
        <w:gridCol w:w="283"/>
        <w:gridCol w:w="283"/>
        <w:gridCol w:w="283"/>
        <w:gridCol w:w="211"/>
        <w:gridCol w:w="541"/>
        <w:gridCol w:w="109"/>
        <w:gridCol w:w="109"/>
        <w:gridCol w:w="109"/>
        <w:gridCol w:w="109"/>
        <w:gridCol w:w="109"/>
        <w:gridCol w:w="109"/>
        <w:gridCol w:w="109"/>
        <w:gridCol w:w="109"/>
        <w:gridCol w:w="293"/>
        <w:gridCol w:w="293"/>
        <w:gridCol w:w="605"/>
      </w:tblGrid>
      <w:tr>
        <w:trPr/>
        <w:tc>
          <w:tcPr>
            <w:tcW w:w="7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5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Net Income (Loss) Attributable to Caesars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2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Las Vegas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 Digital</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and Branded</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6147" w:type="dxa"/>
        <w:jc w:val="left"/>
        <w:tblInd w:w="0" w:type="dxa"/>
        <w:tblLayout w:type="fixed"/>
        <w:tblCellMar>
          <w:top w:w="28" w:type="dxa"/>
          <w:left w:w="28" w:type="dxa"/>
          <w:bottom w:w="28" w:type="dxa"/>
          <w:right w:w="28" w:type="dxa"/>
        </w:tblCellMar>
      </w:tblPr>
      <w:tblGrid>
        <w:gridCol w:w="727"/>
        <w:gridCol w:w="639"/>
        <w:gridCol w:w="643"/>
        <w:gridCol w:w="237"/>
        <w:gridCol w:w="524"/>
        <w:gridCol w:w="122"/>
        <w:gridCol w:w="122"/>
        <w:gridCol w:w="122"/>
        <w:gridCol w:w="122"/>
        <w:gridCol w:w="237"/>
        <w:gridCol w:w="524"/>
        <w:gridCol w:w="122"/>
        <w:gridCol w:w="122"/>
        <w:gridCol w:w="122"/>
        <w:gridCol w:w="122"/>
        <w:gridCol w:w="122"/>
        <w:gridCol w:w="109"/>
        <w:gridCol w:w="109"/>
        <w:gridCol w:w="109"/>
        <w:gridCol w:w="293"/>
        <w:gridCol w:w="293"/>
        <w:gridCol w:w="605"/>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20"/>
              </w:rPr>
              <w:t xml:space="preserve">Adjusted EBITDA </w:t>
            </w:r>
            <w:r>
              <w:rPr>
                <w:rFonts w:ascii="Arial;sans-serif" w:hAnsi="Arial;sans-serif"/>
                <w:b/>
                <w:i/>
                <w:color w:val="000000"/>
                <w:sz w:val="13"/>
              </w:rPr>
              <w:t>(a)</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Las Vegas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 Digital</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and Branded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6206" w:type="dxa"/>
        <w:jc w:val="left"/>
        <w:tblInd w:w="0" w:type="dxa"/>
        <w:tblLayout w:type="fixed"/>
        <w:tblCellMar>
          <w:top w:w="28" w:type="dxa"/>
          <w:left w:w="28" w:type="dxa"/>
          <w:bottom w:w="28" w:type="dxa"/>
          <w:right w:w="28" w:type="dxa"/>
        </w:tblCellMar>
      </w:tblPr>
      <w:tblGrid>
        <w:gridCol w:w="727"/>
        <w:gridCol w:w="639"/>
        <w:gridCol w:w="643"/>
        <w:gridCol w:w="211"/>
        <w:gridCol w:w="616"/>
        <w:gridCol w:w="109"/>
        <w:gridCol w:w="109"/>
        <w:gridCol w:w="109"/>
        <w:gridCol w:w="109"/>
        <w:gridCol w:w="211"/>
        <w:gridCol w:w="616"/>
        <w:gridCol w:w="109"/>
        <w:gridCol w:w="109"/>
        <w:gridCol w:w="109"/>
        <w:gridCol w:w="109"/>
        <w:gridCol w:w="109"/>
        <w:gridCol w:w="109"/>
        <w:gridCol w:w="109"/>
        <w:gridCol w:w="109"/>
        <w:gridCol w:w="291"/>
        <w:gridCol w:w="294"/>
        <w:gridCol w:w="650"/>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20"/>
              </w:rPr>
              <w:t xml:space="preserve">Adjusted EBITDA </w:t>
            </w:r>
            <w:r>
              <w:rPr>
                <w:rFonts w:ascii="Arial;sans-serif" w:hAnsi="Arial;sans-serif"/>
                <w:b/>
                <w:i/>
                <w:color w:val="000000"/>
                <w:sz w:val="13"/>
              </w:rPr>
              <w:t>(a)</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562"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Las Vegas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 Digital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and Branded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Caesars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60" w:after="283"/>
        <w:ind w:left="0" w:right="0" w:hanging="720"/>
        <w:jc w:val="both"/>
        <w:rPr>
          <w:rFonts w:ascii="Arial;sans-serif" w:hAnsi="Arial;sans-serif"/>
          <w:b w:val="false"/>
          <w:i/>
          <w:color w:val="000000"/>
          <w:sz w:val="16"/>
        </w:rPr>
      </w:pPr>
      <w:r>
        <w:rPr>
          <w:rFonts w:ascii="Arial;sans-serif" w:hAnsi="Arial;sans-serif"/>
          <w:b w:val="false"/>
          <w:i/>
          <w:color w:val="000000"/>
          <w:sz w:val="16"/>
        </w:rPr>
        <w:t xml:space="preserve">*Not meaningful </w:t>
      </w:r>
    </w:p>
    <w:p>
      <w:pPr>
        <w:pStyle w:val="TextBody"/>
        <w:bidi w:val="0"/>
        <w:spacing w:lineRule="auto" w:line="288" w:before="60" w:after="283"/>
        <w:ind w:left="0" w:right="0" w:hanging="720"/>
        <w:jc w:val="both"/>
        <w:rPr/>
      </w:pPr>
      <w:r>
        <w:rPr>
          <w:rFonts w:ascii="Arial;sans-serif" w:hAnsi="Arial;sans-serif"/>
          <w:b w:val="false"/>
          <w:i/>
          <w:color w:val="212529"/>
          <w:sz w:val="10"/>
        </w:rPr>
        <w:t>(a)</w:t>
      </w:r>
      <w:r>
        <w:rPr>
          <w:rFonts w:ascii="Arial;sans-serif" w:hAnsi="Arial;sans-serif"/>
          <w:b w:val="false"/>
          <w:i/>
          <w:color w:val="000000"/>
          <w:sz w:val="16"/>
        </w:rPr>
        <w:t xml:space="preserve">Adjusted EBITDA is not a GAAP measurement and is presented solely as a supplemental disclosure because the Company believes it is a widely used measure of operating performance in the gaming industry. See “Reconciliation of GAAP Measures to Non-GAAP Measures” below for a definition of Adjusted EBITDA and a quantitative reconciliation of Adjusted EBITDA to net income (loss) attributable to Caesars, which the Company believes is the most comparable financial measure calculated in accordance with GAAP. </w:t>
      </w:r>
    </w:p>
    <w:p>
      <w:pPr>
        <w:pStyle w:val="TextBody"/>
        <w:bidi w:val="0"/>
        <w:spacing w:lineRule="auto" w:line="288" w:before="180" w:after="283"/>
        <w:jc w:val="both"/>
        <w:rPr>
          <w:rFonts w:ascii="Arial;sans-serif" w:hAnsi="Arial;sans-serif"/>
          <w:b/>
          <w:color w:val="000000"/>
          <w:sz w:val="24"/>
        </w:rPr>
      </w:pPr>
      <w:r>
        <w:rPr>
          <w:rFonts w:ascii="Arial;sans-serif" w:hAnsi="Arial;sans-serif"/>
          <w:b/>
          <w:color w:val="000000"/>
          <w:sz w:val="24"/>
        </w:rPr>
        <w:t>Balance Sheet and Liquidity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Caesars had $11.8 billion in aggregate principal amount of debt outstanding. Total cash and cash equivalents were $965 million, excluding restricted cash of $112 million.</w:t>
      </w:r>
    </w:p>
    <w:tbl>
      <w:tblPr>
        <w:tblW w:w="6115" w:type="dxa"/>
        <w:jc w:val="left"/>
        <w:tblInd w:w="0" w:type="dxa"/>
        <w:tblLayout w:type="fixed"/>
        <w:tblCellMar>
          <w:top w:w="28" w:type="dxa"/>
          <w:left w:w="28" w:type="dxa"/>
          <w:bottom w:w="28" w:type="dxa"/>
          <w:right w:w="28" w:type="dxa"/>
        </w:tblCellMar>
      </w:tblPr>
      <w:tblGrid>
        <w:gridCol w:w="972"/>
        <w:gridCol w:w="854"/>
        <w:gridCol w:w="858"/>
        <w:gridCol w:w="261"/>
        <w:gridCol w:w="894"/>
        <w:gridCol w:w="135"/>
        <w:gridCol w:w="109"/>
        <w:gridCol w:w="109"/>
        <w:gridCol w:w="109"/>
        <w:gridCol w:w="352"/>
        <w:gridCol w:w="1205"/>
        <w:gridCol w:w="257"/>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Bank debt and loans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Notes </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debt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outstanding indebtedness</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11,905 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debt</w:t>
            </w:r>
            <w:r>
              <w:rPr>
                <w:color w:val="000000"/>
              </w:rPr>
              <w:t xml:space="preserve"> </w:t>
            </w:r>
            <w:r>
              <w:rPr>
                <w:rFonts w:ascii="Arial;sans-serif" w:hAnsi="Arial;sans-serif"/>
                <w:b w:val="false"/>
                <w:i/>
                <w:color w:val="000000"/>
                <w:sz w:val="12"/>
              </w:rPr>
              <w:t>(a)</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w:t>
      </w:r>
    </w:p>
    <w:p>
      <w:pPr>
        <w:pStyle w:val="TextBody"/>
        <w:bidi w:val="0"/>
        <w:spacing w:lineRule="auto" w:line="288" w:before="60" w:after="283"/>
        <w:ind w:left="0" w:right="0" w:hanging="720"/>
        <w:jc w:val="both"/>
        <w:rPr/>
      </w:pPr>
      <w:r>
        <w:rPr>
          <w:rFonts w:ascii="Arial;sans-serif" w:hAnsi="Arial;sans-serif"/>
          <w:b w:val="false"/>
          <w:i/>
          <w:color w:val="000000"/>
          <w:sz w:val="10"/>
        </w:rPr>
        <w:t>(a)</w:t>
      </w:r>
      <w:r>
        <w:rPr>
          <w:rFonts w:ascii="Arial;sans-serif" w:hAnsi="Arial;sans-serif"/>
          <w:b w:val="false"/>
          <w:i/>
          <w:color w:val="000000"/>
          <w:sz w:val="16"/>
        </w:rPr>
        <w:t>Net debt is a non-GAAP measurement and is presented solely as a supplemental disclosure because the Company believes it is helpful in understanding our financial position. Net debt is equal to total outstanding indebtedness less cash and cash equivalents.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cash on hand and borrowing capacity was as follows:</w:t>
      </w:r>
    </w:p>
    <w:tbl>
      <w:tblPr>
        <w:tblW w:w="6749" w:type="dxa"/>
        <w:jc w:val="left"/>
        <w:tblInd w:w="0" w:type="dxa"/>
        <w:tblLayout w:type="fixed"/>
        <w:tblCellMar>
          <w:top w:w="28" w:type="dxa"/>
          <w:left w:w="28" w:type="dxa"/>
          <w:bottom w:w="28" w:type="dxa"/>
          <w:right w:w="28" w:type="dxa"/>
        </w:tblCellMar>
      </w:tblPr>
      <w:tblGrid>
        <w:gridCol w:w="1961"/>
        <w:gridCol w:w="1722"/>
        <w:gridCol w:w="1732"/>
        <w:gridCol w:w="287"/>
        <w:gridCol w:w="838"/>
        <w:gridCol w:w="209"/>
      </w:tblGrid>
      <w:tr>
        <w:trPr/>
        <w:tc>
          <w:tcPr>
            <w:tcW w:w="196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CEI Revolving Credit Facility capacity, net of outstanding balance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CVA Revolving Credit Facility capacity</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Revolver capacity committed to letters of credit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Revolver capacity committed to specific reserves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revolver capacity committed as regulatory requirement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Non-GAAP Measures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as applicable, net income (loss) before interest income and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distributions to our noncontrolling interest owners and payments under our leases with affiliates of VICI and GLPI, which can be significant. As a result, Adjusted EBITDA should not be considered as a measure of our liquidity. The reconciliation of net income (loss) attributable to Caesars to Adjusted EBITDA is attached at the end of this press release.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Net debt (defined above), a non-GAAP measure, has been presented as a supplemental disclosure because we believe it is helpful in understanding our financial condition. The reconciliation of net debt to total outstanding indebtedness is set forth above.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Other companies that provide similar non-GAAP measures may calculate them differently than we do, and the definitions may not be the same as the definitions used in any of our debt or lease agreements.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No Conference Call</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Due to the Company’s pending definitive agreement to be acquired by Fertitta Entertainment, Inc. announced on May 28, 2026, Caesars will not be hosting a quarterly conference call. Upon completion of the transaction, Caesars’ common stock will no longer be listed on NASDAQ, and the Company will become a private entity. This press release will be posted on the Company’s Investor Relations website at https://investor.caesars.com.</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 xml:space="preserve">About Caesars Entertainment, Inc.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Caesars Entertainment, Inc. (NASDAQ: CZR) is the largest casino-entertainment company in the US and one of the world’s most diversified casino-entertainment providers. Since its beginning in Reno, NV, in 1937, Caesars Entertainment, Inc. has grown through development of new resorts, expansions and acquisitions. Caesars Entertainment, Inc.’s resorts operate primarily under the Caesars®, Harrah’s®, Horseshoe®, and Eldorado® brand names. Caesars Entertainment, Inc. offers diversified gaming, entertainment and hospitality amenities, one-of-a-kind destinations, and a full suite of mobile and online gaming and sports betting experiences. All tied to its industry-leading Caesars Rewards loyalty program, the company focuses on building value with its guests through a unique combination of impeccable service, operational excellence and technology leadership. Caesars is committed to its employees, suppliers, communities and the environment through its PEOPLE PLANET PLAY framework. To review our latest CSR report, please visit www.caesars.com/corporate-social-responsibility/csr-reports. Must be 21+ to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gamble. Know When To Stop Before You Start.® Gambling Problem? Call 1-800-522-4700. For more information, please visit www.caesars.com/corporate. If you think you or someone you care about may have a gambling problem, call 1-877-770-STOP (1-877-770-7867).</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press release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press release, the terms or phrases such as “anticipates,” “believes,” “projects,” “plans,” “intends,” “expects,” “might,” “may,” “estimates,” “could,” “should,” “would,” “will likely continue,” and variations of such words or similar expressions are intended to identify forward-looking statements. Although our expectations, beliefs and projections are expressed in good faith and with what we believe is a reasonable basis, there can be no assurance that these expectations, beliefs and projections will be realized. There are a number of risks and uncertainties that could cause our actual results to differ materially from those expressed in the forward-looking statements which are included elsewhere in this press release. These risks and uncertainties include, but are not limited to: (a) risks associated with the proposed merger, (b) the impact on our business, financial results and liquidity of economic trends, inflation, public health emergencies, terrorist attacks and other acts of war or hostility, work stoppages and other labor problems, or other economic and market conditions, including reductions in discretionary consumer spending as a result of downturns in the economy and other factors outside our control; (c) the impact of future cybersecurity breaches on our business, financial conditions and results of operations; (d) our ability to successfully operate our digital betting and iGaming platform and expand its user base; (e) risks associated with our leverage and our ability to reduce our leverage; (f) the effects of competition, including new or continued competition in certain of our markets, on our business and results of operations; and (g) additional factors discussed in the sections entitled “Risk Factors” and “Management’s Discussion and Analysis of Financial Condition and Results of Operations” in the Company’s most recent Annual Report on Form 10-K and Quarterly Reports on Form 10-Q as filed with the Securities and Exchange Commission. Other unknown or unpredictable factors may also cause actual results to differ materially from those projected by the forward-looking statements.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light of these and other risks, uncertainties and assumptions, the forward-looking events discussed in this press release might not occur. These forward-looking statements speak only as of the date of this press release, even if subsequently made available on our website or otherwise, and we do not intend to update publicly any forward- looking statement to reflect events or circumstances that occur after the date on which the statement is made, except as may be required by law.</w:t>
      </w:r>
    </w:p>
    <w:p>
      <w:pPr>
        <w:pStyle w:val="TextBody"/>
        <w:bidi w:val="0"/>
        <w:spacing w:lineRule="auto" w:line="268" w:before="180" w:after="283"/>
        <w:jc w:val="both"/>
        <w:rPr>
          <w:rFonts w:ascii="Arial;sans-serif" w:hAnsi="Arial;sans-serif"/>
          <w:b w:val="false"/>
          <w:color w:val="000000"/>
          <w:sz w:val="20"/>
        </w:rPr>
      </w:pPr>
      <w:r>
        <w:rPr>
          <w:rFonts w:ascii="Arial;sans-serif" w:hAnsi="Arial;sans-serif"/>
          <w:b w:val="false"/>
          <w:color w:val="000000"/>
          <w:sz w:val="20"/>
        </w:rPr>
        <w:t>We periodically provide other information for investors on our Investor Relations website, https://investor.caesars.com. We intend to use our website as a means of disclosing material non-public information and for complying with our disclosure obligations under Regulation FD. Accordingly, investors should monitor our website, in addition to following the Company's press releases, SEC filings and public conference calls and webcasts.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Source: Caesars Entertainment, Inc.; CZR</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Investor Relations: Brian Agnew, bagnew@caesars.com; Charise Crumbley, ccrumbley@caesars.com, 800-318-0047</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Media Relations: Kate Whiteley, kwhiteley@caesars.com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CAESARS ENTERTAINMENT,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04"/>
        <w:gridCol w:w="1535"/>
        <w:gridCol w:w="1547"/>
        <w:gridCol w:w="246"/>
        <w:gridCol w:w="721"/>
        <w:gridCol w:w="127"/>
        <w:gridCol w:w="127"/>
        <w:gridCol w:w="127"/>
        <w:gridCol w:w="127"/>
        <w:gridCol w:w="246"/>
        <w:gridCol w:w="721"/>
        <w:gridCol w:w="127"/>
        <w:gridCol w:w="109"/>
        <w:gridCol w:w="109"/>
        <w:gridCol w:w="109"/>
        <w:gridCol w:w="226"/>
        <w:gridCol w:w="664"/>
        <w:gridCol w:w="116"/>
        <w:gridCol w:w="116"/>
        <w:gridCol w:w="116"/>
        <w:gridCol w:w="116"/>
        <w:gridCol w:w="226"/>
        <w:gridCol w:w="664"/>
        <w:gridCol w:w="179"/>
      </w:tblGrid>
      <w:tr>
        <w:trPr/>
        <w:tc>
          <w:tcPr>
            <w:tcW w:w="180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 except per share data)</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Casino</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and beverage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Casino</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and beverage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other costs,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income </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(provision) for income taxes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Caesars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Net loss attributable to Caesars per share - basic and diluted:</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loss per share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loss per share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basic shares outstanding</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diluted shares outstanding</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CAESARS ENTERTAINMENT,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NET INCOME (LOSS) ATTRIBUTABLE TO CAESARS TO ADJUSTED EBITDA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541" w:type="dxa"/>
        <w:jc w:val="left"/>
        <w:tblInd w:w="0" w:type="dxa"/>
        <w:tblLayout w:type="fixed"/>
        <w:tblCellMar>
          <w:top w:w="28" w:type="dxa"/>
          <w:left w:w="28" w:type="dxa"/>
          <w:bottom w:w="28" w:type="dxa"/>
          <w:right w:w="28" w:type="dxa"/>
        </w:tblCellMar>
      </w:tblPr>
      <w:tblGrid>
        <w:gridCol w:w="1506"/>
        <w:gridCol w:w="1323"/>
        <w:gridCol w:w="1326"/>
        <w:gridCol w:w="291"/>
        <w:gridCol w:w="644"/>
        <w:gridCol w:w="150"/>
        <w:gridCol w:w="150"/>
        <w:gridCol w:w="150"/>
        <w:gridCol w:w="150"/>
        <w:gridCol w:w="291"/>
        <w:gridCol w:w="644"/>
        <w:gridCol w:w="150"/>
        <w:gridCol w:w="109"/>
        <w:gridCol w:w="109"/>
        <w:gridCol w:w="109"/>
        <w:gridCol w:w="229"/>
        <w:gridCol w:w="671"/>
        <w:gridCol w:w="118"/>
        <w:gridCol w:w="118"/>
        <w:gridCol w:w="118"/>
        <w:gridCol w:w="118"/>
        <w:gridCol w:w="229"/>
        <w:gridCol w:w="671"/>
        <w:gridCol w:w="167"/>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(In millions)</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Caesars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provision for income taxes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Transaction costs and other, net </w:t>
            </w:r>
            <w:r>
              <w:rPr>
                <w:rFonts w:ascii="Arial;sans-serif" w:hAnsi="Arial;sans-serif"/>
                <w:b w:val="false"/>
                <w:i/>
                <w:color w:val="000000"/>
                <w:sz w:val="12"/>
              </w:rPr>
              <w:t>(a)</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60" w:after="283"/>
        <w:ind w:left="0" w:right="0" w:hanging="720"/>
        <w:jc w:val="both"/>
        <w:rPr/>
      </w:pPr>
      <w:r>
        <w:rPr>
          <w:rFonts w:ascii="Arial;sans-serif" w:hAnsi="Arial;sans-serif"/>
          <w:b w:val="false"/>
          <w:i/>
          <w:color w:val="212529"/>
          <w:sz w:val="10"/>
        </w:rPr>
        <w:t>(a)</w:t>
      </w:r>
      <w:r>
        <w:rPr>
          <w:rFonts w:ascii="Arial;sans-serif" w:hAnsi="Arial;sans-serif"/>
          <w:b w:val="false"/>
          <w:i/>
          <w:color w:val="000000"/>
          <w:sz w:val="16"/>
        </w:rPr>
        <w:t>Transaction costs and other, net primarily includes costs related to non-cash losses on the write down and disposal of assets, certain non-recurring litigation reserves, professional services for transaction and integration costs, various contract exit or termination costs, pre-opening costs in connection with our new property openings, and non-cash changes in equity method investments.</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2836</Words>
  <Characters>15549</Characters>
  <CharactersWithSpaces>18027</CharactersWithSpaces>
  <Paragraphs>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