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36073.xml.htm"/>
      <w:bookmarkStart w:id="1" w:name="kswkform4_17715360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Carano Anthony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CAESARS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Caesars Entertainment, Inc.</w:t>
              </w:r>
            </w:hyperlink>
            <w:r>
              <w:rPr/>
              <w:t xml:space="preserve"> [ </w:t>
            </w:r>
            <w:r>
              <w:rPr>
                <w:rFonts w:ascii="Times;serif" w:hAnsi="Times;serif"/>
                <w:color w:val="0000FF"/>
                <w:sz w:val="24"/>
                <w:shd w:fill="FFFFFF" w:val="clear"/>
              </w:rPr>
              <w:t>CZR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314,400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4,539</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309,861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granted on January 27, 2023, pursuant to the Amended and Restated 2015 Equity Incentive Plan, subject to achievement of specified performance objectives. The level at which such restricted stock units were determined to have been achieved, as reported on this Form 4, was determined by the Board of the Issuer effective with the filing of the annual report on Form 10-K on February 17, 2026. Pursuant to the terms of the grant, the earned restricted stock units immediately vested and settled in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Eaton,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9264" TargetMode="External"/><Relationship Id="rId5" Type="http://schemas.openxmlformats.org/officeDocument/2006/relationships/hyperlink" Target="http://www.sec.gov/cgi-bin/browse-edgar?action=getcompany&amp;CIK=0001590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3611</Characters>
  <CharactersWithSpaces>4216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