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339"/>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ind w:right="-33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33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jc w:val="center"/>
        <w:ind w:right="-339"/>
        <w:spacing w:after="0"/>
        <w:rPr>
          <w:sz w:val="20"/>
          <w:szCs w:val="20"/>
          <w:color w:val="auto"/>
        </w:rPr>
      </w:pPr>
      <w:r>
        <w:rPr>
          <w:rFonts w:ascii="Arial" w:cs="Arial" w:eastAsia="Arial" w:hAnsi="Arial"/>
          <w:sz w:val="31"/>
          <w:szCs w:val="31"/>
          <w:b w:val="1"/>
          <w:bCs w:val="1"/>
          <w:color w:val="auto"/>
        </w:rPr>
        <w:t>SCHEDULE 14A</w:t>
      </w:r>
    </w:p>
    <w:p>
      <w:pPr>
        <w:spacing w:after="0" w:line="76" w:lineRule="exact"/>
        <w:rPr>
          <w:sz w:val="24"/>
          <w:szCs w:val="24"/>
          <w:color w:val="auto"/>
        </w:rPr>
      </w:pPr>
    </w:p>
    <w:p>
      <w:pPr>
        <w:jc w:val="center"/>
        <w:ind w:right="-339"/>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21" w:lineRule="exact"/>
        <w:rPr>
          <w:sz w:val="24"/>
          <w:szCs w:val="24"/>
          <w:color w:val="auto"/>
        </w:rPr>
      </w:pPr>
    </w:p>
    <w:p>
      <w:pPr>
        <w:jc w:val="center"/>
        <w:ind w:right="-339"/>
        <w:spacing w:after="0"/>
        <w:rPr>
          <w:sz w:val="20"/>
          <w:szCs w:val="20"/>
          <w:color w:val="auto"/>
        </w:rPr>
      </w:pPr>
      <w:r>
        <w:rPr>
          <w:rFonts w:ascii="Arial" w:cs="Arial" w:eastAsia="Arial" w:hAnsi="Arial"/>
          <w:sz w:val="20"/>
          <w:szCs w:val="20"/>
          <w:b w:val="1"/>
          <w:bCs w:val="1"/>
          <w:color w:val="auto"/>
        </w:rPr>
        <w:t>Securities Exchange Act of 1934</w:t>
      </w:r>
    </w:p>
    <w:p>
      <w:pPr>
        <w:jc w:val="center"/>
        <w:ind w:right="-339"/>
        <w:spacing w:after="0"/>
        <w:tabs>
          <w:tab w:leader="none" w:pos="180" w:val="left"/>
        </w:tabs>
        <w:rPr>
          <w:sz w:val="20"/>
          <w:szCs w:val="20"/>
          <w:color w:val="auto"/>
        </w:rPr>
      </w:pPr>
      <w:r>
        <w:rPr>
          <w:rFonts w:ascii="Arial" w:cs="Arial" w:eastAsia="Arial" w:hAnsi="Arial"/>
          <w:sz w:val="20"/>
          <w:szCs w:val="20"/>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128905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4" w:lineRule="exact"/>
        <w:rPr>
          <w:sz w:val="24"/>
          <w:szCs w:val="24"/>
          <w:color w:val="auto"/>
        </w:rPr>
      </w:pPr>
    </w:p>
    <w:p>
      <w:pPr>
        <w:ind w:left="120"/>
        <w:spacing w:after="0" w:line="184" w:lineRule="exact"/>
        <w:tabs>
          <w:tab w:leader="none" w:pos="298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265" w:lineRule="exact"/>
        <w:rPr>
          <w:sz w:val="24"/>
          <w:szCs w:val="24"/>
          <w:color w:val="auto"/>
        </w:rPr>
      </w:pPr>
    </w:p>
    <w:p>
      <w:pPr>
        <w:ind w:left="120"/>
        <w:spacing w:after="0"/>
        <w:rPr>
          <w:sz w:val="20"/>
          <w:szCs w:val="20"/>
          <w:color w:val="auto"/>
        </w:rPr>
      </w:pPr>
      <w:r>
        <w:rPr>
          <w:rFonts w:ascii="Arial" w:cs="Arial" w:eastAsia="Arial" w:hAnsi="Arial"/>
          <w:sz w:val="16"/>
          <w:szCs w:val="16"/>
          <w:color w:val="auto"/>
        </w:rPr>
        <w:t>Check the appropriate box:</w:t>
      </w:r>
    </w:p>
    <w:p>
      <w:pPr>
        <w:spacing w:after="0" w:line="140"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22" w:lineRule="exact"/>
        <w:rPr>
          <w:rFonts w:ascii="MS PGothic" w:cs="MS PGothic" w:eastAsia="MS PGothic" w:hAnsi="MS PGothic"/>
          <w:sz w:val="16"/>
          <w:szCs w:val="16"/>
          <w:color w:val="auto"/>
        </w:rPr>
      </w:pPr>
    </w:p>
    <w:p>
      <w:pPr>
        <w:ind w:left="660" w:hanging="54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3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660" w:hanging="544"/>
        <w:spacing w:after="0"/>
        <w:tabs>
          <w:tab w:leader="none" w:pos="6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57" w:lineRule="exact"/>
        <w:rPr>
          <w:sz w:val="24"/>
          <w:szCs w:val="24"/>
          <w:color w:val="auto"/>
        </w:rPr>
      </w:pPr>
    </w:p>
    <w:p>
      <w:pPr>
        <w:jc w:val="center"/>
        <w:ind w:right="-339"/>
        <w:spacing w:after="0"/>
        <w:rPr>
          <w:sz w:val="20"/>
          <w:szCs w:val="20"/>
          <w:color w:val="auto"/>
        </w:rPr>
      </w:pPr>
      <w:r>
        <w:rPr>
          <w:rFonts w:ascii="Arial" w:cs="Arial" w:eastAsia="Arial" w:hAnsi="Arial"/>
          <w:sz w:val="36"/>
          <w:szCs w:val="36"/>
          <w:b w:val="1"/>
          <w:bCs w:val="1"/>
          <w:color w:val="auto"/>
        </w:rPr>
        <w:t>ELDORADO RESORTS, INC.</w:t>
      </w:r>
    </w:p>
    <w:p>
      <w:pPr>
        <w:spacing w:after="0" w:line="47"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73"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81" w:lineRule="exact"/>
        <w:rPr>
          <w:sz w:val="24"/>
          <w:szCs w:val="24"/>
          <w:color w:val="auto"/>
        </w:rPr>
      </w:pPr>
    </w:p>
    <w:p>
      <w:pPr>
        <w:ind w:left="120"/>
        <w:spacing w:after="0"/>
        <w:rPr>
          <w:sz w:val="20"/>
          <w:szCs w:val="20"/>
          <w:color w:val="auto"/>
        </w:rPr>
      </w:pPr>
      <w:r>
        <w:rPr>
          <w:rFonts w:ascii="Arial" w:cs="Arial" w:eastAsia="Arial" w:hAnsi="Arial"/>
          <w:sz w:val="16"/>
          <w:szCs w:val="16"/>
          <w:color w:val="auto"/>
        </w:rPr>
        <w:t>Payment of Filing Fee (Check the appropriate box):</w:t>
      </w:r>
    </w:p>
    <w:p>
      <w:pPr>
        <w:spacing w:after="0" w:line="127"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27"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126" w:lineRule="exact"/>
        <w:rPr>
          <w:rFonts w:ascii="MS PGothic" w:cs="MS PGothic" w:eastAsia="MS PGothic" w:hAnsi="MS PGothic"/>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220" w:right="60" w:hanging="537"/>
        <w:spacing w:after="0" w:line="293" w:lineRule="auto"/>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399" w:lineRule="exact"/>
        <w:rPr>
          <w:rFonts w:ascii="Arial" w:cs="Arial" w:eastAsia="Arial" w:hAnsi="Arial"/>
          <w:sz w:val="16"/>
          <w:szCs w:val="16"/>
          <w:color w:val="auto"/>
        </w:rPr>
      </w:pPr>
    </w:p>
    <w:p>
      <w:pPr>
        <w:ind w:left="680" w:hanging="564"/>
        <w:spacing w:after="0"/>
        <w:tabs>
          <w:tab w:leader="none" w:pos="6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26" w:lineRule="exact"/>
        <w:rPr>
          <w:rFonts w:ascii="MS PGothic" w:cs="MS PGothic" w:eastAsia="MS PGothic" w:hAnsi="MS PGothic"/>
          <w:sz w:val="16"/>
          <w:szCs w:val="16"/>
          <w:color w:val="auto"/>
        </w:rPr>
      </w:pPr>
    </w:p>
    <w:p>
      <w:pPr>
        <w:ind w:left="680" w:hanging="564"/>
        <w:spacing w:after="0" w:line="293" w:lineRule="auto"/>
        <w:tabs>
          <w:tab w:leader="none" w:pos="6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3" w:lineRule="exact"/>
        <w:rPr>
          <w:rFonts w:ascii="MS PGothic" w:cs="MS PGothic" w:eastAsia="MS PGothic" w:hAnsi="MS PGothic"/>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-3847465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-3418840</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-2861945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-2433320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-2004695</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-984250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-555625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-127000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300990</wp:posOffset>
            </wp:positionV>
            <wp:extent cx="6292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480695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523875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00"/>
          </w:cols>
          <w:pgMar w:left="320" w:top="230" w:right="6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100 West Liberty Street, Suite 1150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Reno, Nevada 89501</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You are cordially invited to attend the Annual Meeting of Stockholders of Eldorado Resorts, Inc. (the “Company”) to be held on Monday, June 29, 2020 at 9:00 a.m. Pacific Time. Our annual meeting will be a “virtual meeting” of stockholders, which will be conducted exclusively online via audio webcast. You will be able to attend the virtual annual meeting of stockholders online by visiting http://www.virtualshareholdermeeting.com/ERI2020. You also will be able to vote your shares electronically at the virtual annual meeting.</w:t>
      </w:r>
    </w:p>
    <w:p>
      <w:pPr>
        <w:spacing w:after="0" w:line="18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Utilizing the latest technology allows us to provide expanded access, improved communication and cost savings for our stockholders and the Company. We believe that hosting a virtual meeting will enable greater stockholder attendance and participation from any location around the world, particularly given the extenuating circumstance of the COVID-19 pandemic.</w:t>
      </w:r>
    </w:p>
    <w:p>
      <w:pPr>
        <w:spacing w:after="0" w:line="184"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Details regarding how to attend the meeting online and the business to be conducted at the virtual annual meeting are more fully described in the accompanying proxy statement.</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accompanying Notice of Annual Meeting and Proxy Statement describe the business to be conducted at the meeting. There will be a brief report on the current status of our business.</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On June 24, 2019, we entered into an agreement and plan of merger (the “Merger Agreement”) to consummate a strategic combination pursuant to which Caesars Entertainment Corporation will become a wholly owned subsidiary of the Company (the “Merger”). The Merger Agreement provides that the Company is required to take all actions within its power as necessary or appropriate to reconstitute the Board of Directors of the Company</w:t>
      </w:r>
      <w:r>
        <w:rPr>
          <w:rFonts w:ascii="Arial" w:cs="Arial" w:eastAsia="Arial" w:hAnsi="Arial"/>
          <w:sz w:val="17"/>
          <w:szCs w:val="17"/>
          <w:b w:val="1"/>
          <w:bCs w:val="1"/>
          <w:color w:val="auto"/>
        </w:rPr>
        <w:t>,</w:t>
      </w:r>
      <w:r>
        <w:rPr>
          <w:rFonts w:ascii="Arial" w:cs="Arial" w:eastAsia="Arial" w:hAnsi="Arial"/>
          <w:sz w:val="17"/>
          <w:szCs w:val="17"/>
          <w:color w:val="auto"/>
        </w:rPr>
        <w:t xml:space="preserve"> as more fully described in the accompanying proxy statement. In the event that the Merger is consummated prior to the scheduled date of the Annual Meeting, we intend to postpone the Annual Meeting and circulate proxy materials reflecting the nomination of the individuals that serve on the Board of Directors immediately following the Merger for election as members of the Board of Directors.</w:t>
      </w:r>
    </w:p>
    <w:p>
      <w:pPr>
        <w:spacing w:after="0" w:line="178"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As permitted by the Securities and Exchange Commission, we are furnishing to stockholders our Notice of Annual Meeting, Proxy Statement, Proxy Card and Annual Report primarily over the internet. On or about May 19, 2020, we will mail to each of our stockholders (other than those who previously requested electronic or paper delivery) a Notice of Internet Availability of Proxy Materials containing instructions on how to access and review the proxy materials via the internet, and how to access the Proxy Card to vote on the internet or by telephone. The Notice of Internet Availability of Proxy Materials also contains instructions on how to receive, free of charge, paper copies of the proxy materials. If you received the notice, then you will not receive a paper copy of the proxy materials unless you request one.</w:t>
      </w:r>
    </w:p>
    <w:p>
      <w:pPr>
        <w:spacing w:after="0" w:line="178"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Whether or not you plan to attend the meeting in person, it is important that your shares be represented and voted. After reading the Notice of Annual Meeting and Proxy Statement, please complete, sign and date your proxy ballot, and return it in the envelope provided.</w:t>
      </w:r>
    </w:p>
    <w:p>
      <w:pPr>
        <w:spacing w:after="0" w:line="146"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On behalf of the officers and directors of Eldorado Resorts, Inc., I thank you for your interest in the Company and hope that you will be able to attend our Annual Meeting.</w:t>
      </w:r>
    </w:p>
    <w:p>
      <w:pPr>
        <w:spacing w:after="0" w:line="17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For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168910</wp:posOffset>
            </wp:positionV>
            <wp:extent cx="2254250" cy="6254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5425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GARY L. CARANO</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Executive Chairman of the Board of Directors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19, 2020</w:t>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100 West Liberty Street, Suite 1150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Reno, Nevada 89501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9" w:lineRule="exact"/>
        <w:rPr>
          <w:sz w:val="20"/>
          <w:szCs w:val="20"/>
          <w:color w:val="auto"/>
        </w:rPr>
      </w:pPr>
    </w:p>
    <w:p>
      <w:pPr>
        <w:jc w:val="both"/>
        <w:ind w:left="120" w:right="460" w:firstLine="440"/>
        <w:spacing w:after="0" w:line="342" w:lineRule="auto"/>
        <w:rPr>
          <w:sz w:val="20"/>
          <w:szCs w:val="20"/>
          <w:color w:val="auto"/>
        </w:rPr>
      </w:pPr>
      <w:r>
        <w:rPr>
          <w:rFonts w:ascii="Arial" w:cs="Arial" w:eastAsia="Arial" w:hAnsi="Arial"/>
          <w:sz w:val="16"/>
          <w:szCs w:val="16"/>
          <w:color w:val="auto"/>
        </w:rPr>
        <w:t>NOTICE IS HEREBY GIVEN that the Annual Meeting of Stockholders of Eldorado Resorts, Inc. will be held virtually and can be accessed online at http://www.virtualshareholdermeeting.com/ERI2020 on Wednesday, June 29, 2020 at 9:00 a.m. Pacific Time, for the following purposes:</w:t>
      </w:r>
    </w:p>
    <w:p>
      <w:pPr>
        <w:spacing w:after="0" w:line="29" w:lineRule="exact"/>
        <w:rPr>
          <w:sz w:val="20"/>
          <w:szCs w:val="20"/>
          <w:color w:val="auto"/>
        </w:rPr>
      </w:pPr>
    </w:p>
    <w:p>
      <w:pPr>
        <w:ind w:left="1080" w:right="100" w:hanging="532"/>
        <w:spacing w:after="0" w:line="308"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elect the nine (9) director nominees to our Board of Directors, each to serve as directors until the 2021 annual meeting of stockholders, or until the earlier of their resignation or until their respective successors shall have been duly elected and qualified;</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Ernst &amp; Young LLP as our independent registered public accounting firm;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hold an advisory vote to approve the compensation of our named executive officers;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transact such other business as may properly be presented at the Annual Meeting or any adjournment or postponement thereof.</w:t>
      </w:r>
    </w:p>
    <w:p>
      <w:pPr>
        <w:spacing w:after="0" w:line="23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Stockholders entitled to notice of, and to vote at, the meeting will be determined as of the close of business on May 13, 2020, the record date fixed by the Board of Directors for such purposes. A list of these stockholders is available at our corporate offices and will be available at the Annual Meeting.</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accompanying proxy materials include instructions on how to participate in the annual meeting and how to vote your shares of the Company’s stock by attending the virtual meeting by webcast. To submit your questions in advance of the annual meeting, please log on to www.proxyvote.com. You will need to enter the 16-digit control number received with your Proxy or Notice of Internet Availability of Proxy Materials to vote during the meeting.</w:t>
      </w:r>
    </w:p>
    <w:p>
      <w:pPr>
        <w:spacing w:after="0" w:line="18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 xml:space="preserve">Edmund L. Quatmann, Jr., </w:t>
      </w:r>
      <w:r>
        <w:rPr>
          <w:rFonts w:ascii="Arial" w:cs="Arial" w:eastAsia="Arial" w:hAnsi="Arial"/>
          <w:sz w:val="18"/>
          <w:szCs w:val="18"/>
          <w:i w:val="1"/>
          <w:iCs w:val="1"/>
          <w:color w:val="auto"/>
        </w:rPr>
        <w:t>Secretary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19, 2020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sign the enclosed proxy and return it promptly in the enclosed envelope.</w:t>
      </w:r>
    </w:p>
    <w:p>
      <w:pPr>
        <w:spacing w:after="0" w:line="221" w:lineRule="exact"/>
        <w:rPr>
          <w:sz w:val="20"/>
          <w:szCs w:val="20"/>
          <w:color w:val="auto"/>
        </w:rPr>
      </w:pPr>
    </w:p>
    <w:p>
      <w:pPr>
        <w:ind w:left="120" w:right="120" w:firstLine="440"/>
        <w:spacing w:after="0" w:line="256"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Stockholder Meeting to be held on June 29, 2020: Our Proxy Statement and Fiscal Year 2019 Annual Report to Stockholders are available at http://www.proxyvote.com. </w:t>
      </w:r>
      <w:r>
        <w:rPr>
          <w:rFonts w:ascii="Arial" w:cs="Arial" w:eastAsia="Arial" w:hAnsi="Arial"/>
          <w:sz w:val="18"/>
          <w:szCs w:val="18"/>
          <w:color w:val="auto"/>
        </w:rPr>
        <w:t>IT IS IMPORTANT THAT YOUR</w:t>
      </w:r>
      <w:r>
        <w:rPr>
          <w:rFonts w:ascii="Arial" w:cs="Arial" w:eastAsia="Arial" w:hAnsi="Arial"/>
          <w:sz w:val="18"/>
          <w:szCs w:val="18"/>
          <w:b w:val="1"/>
          <w:bCs w:val="1"/>
          <w:color w:val="auto"/>
        </w:rPr>
        <w:t xml:space="preserve"> </w:t>
      </w:r>
      <w:r>
        <w:rPr>
          <w:rFonts w:ascii="Arial" w:cs="Arial" w:eastAsia="Arial" w:hAnsi="Arial"/>
          <w:sz w:val="18"/>
          <w:szCs w:val="18"/>
          <w:color w:val="auto"/>
        </w:rPr>
        <w:t>SHARES BE REPRESENTED AND VOTED AT THE ANNUAL MEETING. YOU MAY VOTE YOUR SHARES ELECTRONICALLY VIA THE INTERNET, BY TELEPHONE, BY MAIL, OR DURING THE VIRTUAL ANNUAL MEETING. THE NOTICE OF ANNUAL MEETING, PROXY STATEMENT AND ANNUAL REPORT ARE AVAILABLE AT WWW.PROXYVOTE.COM. PLEASE CAREFULLY REVIEW THE PROXY MATERIALS AND FOLLOW THE INSTRUCTIONS ON THE PROXY CARD TO VOTE.</w:t>
      </w:r>
    </w:p>
    <w:p>
      <w:pPr>
        <w:sectPr>
          <w:pgSz w:w="11900" w:h="16838" w:orient="portrait"/>
          <w:cols w:equalWidth="0" w:num="1">
            <w:col w:w="11120"/>
          </w:cols>
          <w:pgMar w:left="320" w:top="459"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74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tc>
        <w:tc>
          <w:tcPr>
            <w:tcW w:w="340" w:type="dxa"/>
            <w:vAlign w:val="bottom"/>
          </w:tcPr>
          <w:p>
            <w:pPr>
              <w:spacing w:after="0"/>
              <w:rPr>
                <w:sz w:val="20"/>
                <w:szCs w:val="20"/>
                <w:color w:val="auto"/>
              </w:rPr>
            </w:pPr>
          </w:p>
        </w:tc>
      </w:tr>
      <w:tr>
        <w:trPr>
          <w:trHeight w:val="513"/>
        </w:trPr>
        <w:tc>
          <w:tcPr>
            <w:tcW w:w="107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4"/>
                <w:szCs w:val="24"/>
                <w:color w:val="auto"/>
              </w:rPr>
            </w:pPr>
          </w:p>
        </w:tc>
      </w:tr>
      <w:tr>
        <w:trPr>
          <w:trHeight w:val="459"/>
        </w:trPr>
        <w:tc>
          <w:tcPr>
            <w:tcW w:w="10740" w:type="dxa"/>
            <w:vAlign w:val="bottom"/>
          </w:tcPr>
          <w:p>
            <w:pPr>
              <w:ind w:left="12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PROXY STATEMENT</w:t>
              </w:r>
            </w:hyperlink>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10"/>
        </w:trPr>
        <w:tc>
          <w:tcPr>
            <w:tcW w:w="10740" w:type="dxa"/>
            <w:vAlign w:val="bottom"/>
          </w:tcPr>
          <w:p>
            <w:pPr>
              <w:ind w:left="120"/>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PROPOSAL 1 ELECTION OF DIRECTORS</w:t>
              </w:r>
            </w:hyperlink>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Nominees for Directors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Corporate Governance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740" w:type="dxa"/>
            <w:vAlign w:val="bottom"/>
          </w:tcPr>
          <w:p>
            <w:pPr>
              <w:ind w:left="8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Audit Committee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740" w:type="dxa"/>
            <w:vAlign w:val="bottom"/>
          </w:tcPr>
          <w:p>
            <w:pPr>
              <w:ind w:left="8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Compensation Committee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740" w:type="dxa"/>
            <w:vAlign w:val="bottom"/>
          </w:tcPr>
          <w:p>
            <w:pPr>
              <w:ind w:left="8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Nominating and Governance Committee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740" w:type="dxa"/>
            <w:vAlign w:val="bottom"/>
          </w:tcPr>
          <w:p>
            <w:pPr>
              <w:ind w:left="8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Compliance Committee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Compensation Committee Interlocks and Insider Participation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Stockholder Communications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Board Leadership Structure and Risk Oversight</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Code of Ethics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Stock Ownership of Certain Beneficial Owners and Management</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Delinquent Section 16(a) Reports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Director Compensation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Transactions with Related Persons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Executive Compensation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Compensation Discussion &amp; Analysis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How We Determine Compensation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Role of the Compensation Committee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Role of Management in Compensation Decisions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Determination of CEO Pay</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Peer Companies and Competitive Benchmarking</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Employment Agreements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Other Compensation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Equity Grant Practices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Compensation Committee Report</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Summary Compensation Table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Grant of Plan-Based Awards Table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Outstanding Equity Awards at Fiscal Year-End Table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2019 Option Exercises and Stock Vested Table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Potential Payments upon Termination or Change in Control Table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0740" w:type="dxa"/>
            <w:vAlign w:val="bottom"/>
          </w:tcPr>
          <w:p>
            <w:pPr>
              <w:ind w:left="4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Chief Executive Officer Pay Ratio</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0"/>
        </w:trPr>
        <w:tc>
          <w:tcPr>
            <w:tcW w:w="10740" w:type="dxa"/>
            <w:vAlign w:val="bottom"/>
          </w:tcPr>
          <w:p>
            <w:pPr>
              <w:ind w:left="120"/>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PROPOSAL 2 RATIFICATION OF SELECTION OF INDEPENDENT REGISTERED PUBLIC ACCOUNTING FIRM</w:t>
              </w:r>
            </w:hyperlink>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230"/>
        </w:trPr>
        <w:tc>
          <w:tcPr>
            <w:tcW w:w="10740" w:type="dxa"/>
            <w:vAlign w:val="bottom"/>
          </w:tcPr>
          <w:p>
            <w:pPr>
              <w:ind w:left="48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Audit Committee Pre-Approval Policy</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0740" w:type="dxa"/>
            <w:vAlign w:val="bottom"/>
          </w:tcPr>
          <w:p>
            <w:pPr>
              <w:ind w:left="120"/>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PROPOSAL 3 ADVISORY VOTE TO APPROVE THE COMPENSATION OF THE COMPANY’S NAMED EXECUTIVE OFFICERS</w:t>
              </w:r>
            </w:hyperlink>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324"/>
        </w:trPr>
        <w:tc>
          <w:tcPr>
            <w:tcW w:w="10740" w:type="dxa"/>
            <w:vAlign w:val="bottom"/>
          </w:tcPr>
          <w:p>
            <w:pPr>
              <w:ind w:left="120"/>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REPORT OF THE AUDIT COMMITTEE</w:t>
              </w:r>
            </w:hyperlink>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310"/>
        </w:trPr>
        <w:tc>
          <w:tcPr>
            <w:tcW w:w="10740" w:type="dxa"/>
            <w:vAlign w:val="bottom"/>
          </w:tcPr>
          <w:p>
            <w:pPr>
              <w:ind w:left="120"/>
              <w:spacing w:after="0"/>
              <w:rPr>
                <w:rFonts w:ascii="Arial" w:cs="Arial" w:eastAsia="Arial" w:hAnsi="Arial"/>
                <w:sz w:val="18"/>
                <w:szCs w:val="18"/>
                <w:b w:val="1"/>
                <w:bCs w:val="1"/>
                <w:u w:val="single" w:color="auto"/>
                <w:color w:val="0000EE"/>
              </w:rPr>
            </w:pPr>
            <w:hyperlink w:anchor="page47">
              <w:r>
                <w:rPr>
                  <w:rFonts w:ascii="Arial" w:cs="Arial" w:eastAsia="Arial" w:hAnsi="Arial"/>
                  <w:sz w:val="18"/>
                  <w:szCs w:val="18"/>
                  <w:b w:val="1"/>
                  <w:bCs w:val="1"/>
                  <w:u w:val="single" w:color="auto"/>
                  <w:color w:val="0000EE"/>
                </w:rPr>
                <w:t>OTHER MATTERS</w:t>
              </w:r>
            </w:hyperlink>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Stockholder Proposals for Next Meeting</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Notice Regarding Abandoned Property Law of New York State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740" w:type="dxa"/>
            <w:vAlign w:val="bottom"/>
          </w:tcPr>
          <w:p>
            <w:pPr>
              <w:ind w:left="48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Information Accompanying this Proxy Statement</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0740" w:type="dxa"/>
            <w:vAlign w:val="bottom"/>
          </w:tcPr>
          <w:p>
            <w:pPr>
              <w:ind w:left="48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No Other Business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100 West Liberty Street, Suite 1150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Reno, Nevada 89501</w:t>
      </w:r>
    </w:p>
    <w:p>
      <w:pPr>
        <w:spacing w:after="0" w:line="9" w:lineRule="exact"/>
        <w:rPr>
          <w:sz w:val="20"/>
          <w:szCs w:val="20"/>
          <w:color w:val="auto"/>
        </w:rPr>
      </w:pPr>
    </w:p>
    <w:p>
      <w:pPr>
        <w:ind w:left="5500" w:hanging="438"/>
        <w:spacing w:after="0"/>
        <w:tabs>
          <w:tab w:leader="none" w:pos="5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328-0100</w:t>
      </w:r>
    </w:p>
    <w:p>
      <w:pPr>
        <w:spacing w:after="0" w:line="206" w:lineRule="exact"/>
        <w:rPr>
          <w:rFonts w:ascii="Arial" w:cs="Arial" w:eastAsia="Arial" w:hAnsi="Arial"/>
          <w:sz w:val="18"/>
          <w:szCs w:val="18"/>
          <w:b w:val="1"/>
          <w:bCs w:val="1"/>
          <w:color w:val="auto"/>
        </w:rPr>
      </w:pPr>
    </w:p>
    <w:p>
      <w:pPr>
        <w:ind w:left="47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PROXY STATEMENT</w:t>
      </w:r>
    </w:p>
    <w:p>
      <w:pPr>
        <w:spacing w:after="0" w:line="225" w:lineRule="exact"/>
        <w:rPr>
          <w:rFonts w:ascii="Arial" w:cs="Arial" w:eastAsia="Arial" w:hAnsi="Arial"/>
          <w:sz w:val="18"/>
          <w:szCs w:val="18"/>
          <w:b w:val="1"/>
          <w:bCs w:val="1"/>
          <w:color w:val="auto"/>
        </w:rPr>
      </w:pPr>
    </w:p>
    <w:p>
      <w:pPr>
        <w:ind w:left="49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This Proxy Statement is furnished in connection with the solicitation of proxies by the Board of Directors of Eldorado Resorts, Inc. for use at the Annual Meeting of Stockholders to be held on June 29, 2020.</w:t>
      </w:r>
    </w:p>
    <w:p>
      <w:pPr>
        <w:spacing w:after="0" w:line="16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i w:val="1"/>
          <w:iCs w:val="1"/>
          <w:color w:val="auto"/>
        </w:rPr>
        <w:t>Copies of Proxy Materials</w:t>
      </w:r>
      <w:r>
        <w:rPr>
          <w:rFonts w:ascii="Arial" w:cs="Arial" w:eastAsia="Arial" w:hAnsi="Arial"/>
          <w:sz w:val="17"/>
          <w:szCs w:val="17"/>
          <w:color w:val="auto"/>
        </w:rPr>
        <w:t>. As permitted by the Securities and Exchange Commission, we are furnishing to stockholders our Notice of Annual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Proxy Statement, Proxy Card and Annual Report primarily over the internet. On or about May 20, 2020, we will mail to each of our stockholders (other than those who previously requested electronic or paper delivery) a Notice of Internet Availability of Proxy Materials containing instructions on how to access and review the proxy materials via the internet, and how to access the Proxy Card to vote on the internet or by telephone. The Notice of Internet Availability of Proxy Materials also contains instructions on how to receive, free of charge, paper copies of the proxy materials. If you received the notice, then you will not receive a paper copy of the proxy materials unless you request one.</w:t>
      </w:r>
    </w:p>
    <w:p>
      <w:pPr>
        <w:spacing w:after="0" w:line="178"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A copy of our annual report with financial statements for the year ended December 31, 2019 is enclosed. This proxy statement and form of proxy are to be first sent to stockholders on or about the date stated on the accompanying Notice of Annual Meeting of Stockholders.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Purpose of Meeting</w:t>
      </w:r>
      <w:r>
        <w:rPr>
          <w:rFonts w:ascii="Arial" w:cs="Arial" w:eastAsia="Arial" w:hAnsi="Arial"/>
          <w:sz w:val="18"/>
          <w:szCs w:val="18"/>
          <w:color w:val="auto"/>
        </w:rPr>
        <w:t>. The purpose of the meeting is to vote on the following proposals:</w:t>
      </w:r>
    </w:p>
    <w:p>
      <w:pPr>
        <w:spacing w:after="0" w:line="117" w:lineRule="exact"/>
        <w:rPr>
          <w:sz w:val="20"/>
          <w:szCs w:val="20"/>
          <w:color w:val="auto"/>
        </w:rPr>
      </w:pPr>
    </w:p>
    <w:p>
      <w:pPr>
        <w:ind w:left="560" w:right="920" w:firstLine="419"/>
        <w:spacing w:after="0" w:line="342" w:lineRule="auto"/>
        <w:tabs>
          <w:tab w:leader="none" w:pos="1295"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elect the nine (9) director nominees to our Board of Directors, each to serve as directors until the 2021 annual meeting of stockholders, or until the earlier of their resignation or until their respective successors shall have been duly elected and qualified;</w:t>
      </w:r>
    </w:p>
    <w:p>
      <w:pPr>
        <w:spacing w:after="0" w:line="15" w:lineRule="exact"/>
        <w:rPr>
          <w:rFonts w:ascii="Arial" w:cs="Arial" w:eastAsia="Arial" w:hAnsi="Arial"/>
          <w:sz w:val="16"/>
          <w:szCs w:val="16"/>
          <w:color w:val="auto"/>
        </w:rPr>
      </w:pPr>
    </w:p>
    <w:p>
      <w:pPr>
        <w:ind w:left="1300" w:hanging="321"/>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ratify the selection of Ernst &amp; Young LLP as our independent registered public accounting firm;</w:t>
      </w:r>
    </w:p>
    <w:p>
      <w:pPr>
        <w:spacing w:after="0" w:line="117" w:lineRule="exact"/>
        <w:rPr>
          <w:rFonts w:ascii="Arial" w:cs="Arial" w:eastAsia="Arial" w:hAnsi="Arial"/>
          <w:sz w:val="18"/>
          <w:szCs w:val="18"/>
          <w:color w:val="auto"/>
        </w:rPr>
      </w:pPr>
    </w:p>
    <w:p>
      <w:pPr>
        <w:ind w:left="1300" w:hanging="321"/>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hold an advisory vote to approve the compensation of our named executive officers; and</w:t>
      </w:r>
    </w:p>
    <w:p>
      <w:pPr>
        <w:spacing w:after="0" w:line="117" w:lineRule="exact"/>
        <w:rPr>
          <w:rFonts w:ascii="Arial" w:cs="Arial" w:eastAsia="Arial" w:hAnsi="Arial"/>
          <w:sz w:val="18"/>
          <w:szCs w:val="18"/>
          <w:color w:val="auto"/>
        </w:rPr>
      </w:pPr>
    </w:p>
    <w:p>
      <w:pPr>
        <w:ind w:left="1300" w:hanging="321"/>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transact such other business as may properly be presented at the Annual Meeting or any adjournment or postponement thereof.</w:t>
      </w:r>
    </w:p>
    <w:p>
      <w:pPr>
        <w:spacing w:after="0" w:line="248"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i w:val="1"/>
          <w:iCs w:val="1"/>
          <w:color w:val="auto"/>
        </w:rPr>
        <w:t>Board Recommendations</w:t>
      </w:r>
      <w:r>
        <w:rPr>
          <w:rFonts w:ascii="Arial" w:cs="Arial" w:eastAsia="Arial" w:hAnsi="Arial"/>
          <w:sz w:val="18"/>
          <w:szCs w:val="18"/>
          <w:color w:val="auto"/>
        </w:rPr>
        <w:t>. You are urged to submit the proxy card provided to you so that your shares can be voted at the Annual Meeting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your instructions. Our Board of Directors recommends the following votes:</w:t>
      </w:r>
    </w:p>
    <w:p>
      <w:pPr>
        <w:spacing w:after="0" w:line="62" w:lineRule="exact"/>
        <w:rPr>
          <w:sz w:val="20"/>
          <w:szCs w:val="20"/>
          <w:color w:val="auto"/>
        </w:rPr>
      </w:pPr>
    </w:p>
    <w:p>
      <w:pPr>
        <w:ind w:left="1300" w:hanging="321"/>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each of the director nominees to our Board of Directors;</w:t>
      </w:r>
    </w:p>
    <w:p>
      <w:pPr>
        <w:spacing w:after="0" w:line="117" w:lineRule="exact"/>
        <w:rPr>
          <w:rFonts w:ascii="Arial" w:cs="Arial" w:eastAsia="Arial" w:hAnsi="Arial"/>
          <w:sz w:val="18"/>
          <w:szCs w:val="18"/>
          <w:color w:val="auto"/>
        </w:rPr>
      </w:pPr>
    </w:p>
    <w:p>
      <w:pPr>
        <w:ind w:left="1300" w:hanging="321"/>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ratification of the selection of Ernst &amp; Young LLP as our independent registered public accounting firm; and</w:t>
      </w:r>
    </w:p>
    <w:p>
      <w:pPr>
        <w:spacing w:after="0" w:line="117" w:lineRule="exact"/>
        <w:rPr>
          <w:rFonts w:ascii="Arial" w:cs="Arial" w:eastAsia="Arial" w:hAnsi="Arial"/>
          <w:sz w:val="18"/>
          <w:szCs w:val="18"/>
          <w:color w:val="auto"/>
        </w:rPr>
      </w:pPr>
    </w:p>
    <w:p>
      <w:pPr>
        <w:ind w:left="1300" w:hanging="321"/>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approval of the compensation of our named executive officers.</w:t>
      </w:r>
    </w:p>
    <w:p>
      <w:pPr>
        <w:spacing w:after="0" w:line="225"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i w:val="1"/>
          <w:iCs w:val="1"/>
          <w:color w:val="auto"/>
        </w:rPr>
        <w:t>Record Date</w:t>
      </w:r>
      <w:r>
        <w:rPr>
          <w:rFonts w:ascii="Arial" w:cs="Arial" w:eastAsia="Arial" w:hAnsi="Arial"/>
          <w:sz w:val="16"/>
          <w:szCs w:val="16"/>
          <w:color w:val="auto"/>
        </w:rPr>
        <w:t>. Only stockholders of record as of the close of business on May 13, 2020 will be entitled to notice of and to vote at the meeting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any postponement or adjournments thereof. As of May 13, 2020, 77,824,059 shares of our common stock were issued and outstanding and 223,823 shares were held in treasury. Each share outstanding as of the record date will be entitled to one vote, and stockholders may vote in person or by proxy. Execution of a proxy will not in any way affect a stockholder’s right to attend the meeting and vote in person.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Revocation of Proxies</w:t>
      </w:r>
      <w:r>
        <w:rPr>
          <w:rFonts w:ascii="Arial" w:cs="Arial" w:eastAsia="Arial" w:hAnsi="Arial"/>
          <w:sz w:val="18"/>
          <w:szCs w:val="18"/>
          <w:color w:val="auto"/>
        </w:rPr>
        <w:t>. Any stockholder giving a proxy has the right to revoke it at any time before it is exercised by written notice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Secretary of Eldorado Resorts, Inc. or by submission of another proxy bearing a later date. In addition, stockholders of record attending the meeting may revoke their proxies at any time before they are exercised.</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i w:val="1"/>
          <w:iCs w:val="1"/>
          <w:color w:val="auto"/>
        </w:rPr>
        <w:t>Quorum</w:t>
      </w:r>
      <w:r>
        <w:rPr>
          <w:rFonts w:ascii="Arial" w:cs="Arial" w:eastAsia="Arial" w:hAnsi="Arial"/>
          <w:sz w:val="18"/>
          <w:szCs w:val="18"/>
          <w:color w:val="auto"/>
        </w:rPr>
        <w:t>. A majority of the shares of our common stock entitled to vote at the Annual Meeting, represented in person or by proxy, will constitute a</w:t>
      </w:r>
      <w:r>
        <w:rPr>
          <w:rFonts w:ascii="Arial" w:cs="Arial" w:eastAsia="Arial" w:hAnsi="Arial"/>
          <w:sz w:val="18"/>
          <w:szCs w:val="18"/>
          <w:i w:val="1"/>
          <w:iCs w:val="1"/>
          <w:color w:val="auto"/>
        </w:rPr>
        <w:t xml:space="preserve"> </w:t>
      </w:r>
      <w:r>
        <w:rPr>
          <w:rFonts w:ascii="Arial" w:cs="Arial" w:eastAsia="Arial" w:hAnsi="Arial"/>
          <w:sz w:val="18"/>
          <w:szCs w:val="18"/>
          <w:color w:val="auto"/>
        </w:rPr>
        <w:t>quorum for the transaction of business at the Annual Meeting. Shares of our common stock represented in person or by proxy (including shares which abstain, broker non-votes and shares that are not voted with respect to one or more of the matters presented for stockholder approval) will be counted for purposes of determining whether a quorum is present at the Annual Meeting.</w:t>
      </w:r>
    </w:p>
    <w:p>
      <w:pPr>
        <w:spacing w:after="0" w:line="18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i w:val="1"/>
          <w:iCs w:val="1"/>
          <w:color w:val="auto"/>
        </w:rPr>
        <w:t>Required Vote</w:t>
      </w:r>
      <w:r>
        <w:rPr>
          <w:rFonts w:ascii="Arial" w:cs="Arial" w:eastAsia="Arial" w:hAnsi="Arial"/>
          <w:sz w:val="16"/>
          <w:szCs w:val="16"/>
          <w:color w:val="auto"/>
        </w:rPr>
        <w:t>. With respect to Proposal 1 (election of directors), stockholders may vote FOR all or some of the nominees or stockholders may</w:t>
      </w:r>
      <w:r>
        <w:rPr>
          <w:rFonts w:ascii="Arial" w:cs="Arial" w:eastAsia="Arial" w:hAnsi="Arial"/>
          <w:sz w:val="16"/>
          <w:szCs w:val="16"/>
          <w:i w:val="1"/>
          <w:iCs w:val="1"/>
          <w:color w:val="auto"/>
        </w:rPr>
        <w:t xml:space="preserve"> </w:t>
      </w:r>
      <w:r>
        <w:rPr>
          <w:rFonts w:ascii="Arial" w:cs="Arial" w:eastAsia="Arial" w:hAnsi="Arial"/>
          <w:sz w:val="16"/>
          <w:szCs w:val="16"/>
          <w:color w:val="auto"/>
        </w:rPr>
        <w:t>vote WITHHOLD with respect to one or more of the nominees. The affirmative vote of the holders of a plurality of the shares represented at the meeting in person or by proxy and entitled to vote thereon is required to elect a director. A vote to WITHHOLD will have the effect of a negative vote.</w:t>
      </w:r>
    </w:p>
    <w:p>
      <w:pPr>
        <w:spacing w:after="0" w:line="14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With respect to Proposal 2 (ratification of Ernst &amp; Young LLP as our independent registered public accounting firm), and Proposal 3 (advisory vote to approve the compensation of our named executive officers), stockholders may vote FOR, AGAINST or ABSTAIN. Approval of Proposals 2 and 3 requires the affirmative vote of a majority of shares represented at the meeting in person or by proxy and entitled to vote thereon. A vote to ABSTAIN will have the effect of a negative vote.</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know of no other matter to be presented at the meeting. If any other matter should be presented at the meeting upon which a vote properly may be taken, then the persons named as proxies will have discretion to vote on those matters according to their best judgment to the same extent as the person signing the proxy would be entitled to vote. At the date of this proxy statement, we do not anticipate that any other matters will be raised at the Annual Meeting.</w:t>
      </w:r>
    </w:p>
    <w:p>
      <w:pPr>
        <w:spacing w:after="0" w:line="18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i w:val="1"/>
          <w:iCs w:val="1"/>
          <w:color w:val="auto"/>
        </w:rPr>
        <w:t>Broker Non-Votes</w:t>
      </w:r>
      <w:r>
        <w:rPr>
          <w:rFonts w:ascii="Arial" w:cs="Arial" w:eastAsia="Arial" w:hAnsi="Arial"/>
          <w:sz w:val="17"/>
          <w:szCs w:val="17"/>
          <w:color w:val="auto"/>
        </w:rPr>
        <w:t>. A broker non-vote occurs when a broker, bank or other holder of record, in nominee name or otherwise, exercising its fiduciary</w:t>
      </w:r>
      <w:r>
        <w:rPr>
          <w:rFonts w:ascii="Arial" w:cs="Arial" w:eastAsia="Arial" w:hAnsi="Arial"/>
          <w:sz w:val="17"/>
          <w:szCs w:val="17"/>
          <w:i w:val="1"/>
          <w:iCs w:val="1"/>
          <w:color w:val="auto"/>
        </w:rPr>
        <w:t xml:space="preserve"> </w:t>
      </w:r>
      <w:r>
        <w:rPr>
          <w:rFonts w:ascii="Arial" w:cs="Arial" w:eastAsia="Arial" w:hAnsi="Arial"/>
          <w:sz w:val="17"/>
          <w:szCs w:val="17"/>
          <w:color w:val="auto"/>
        </w:rPr>
        <w:t>powers (typically referred to as being held in “street name”) submits a proxy for the Annual Meeting, but does not vote on a particular proposal and has not received voting instructions from the beneficial owner. Broker non-votes (like abstentions) will be counted as present for purposes of determining the presence of a quorum, and will have the effect on the outcome of the vote as set forth in “Required Vote” beginning on page 2 of this Proxy Statement. Under the New York Stock Exchange (“NYSE”) rules that govern brokers who are voting with respect to shares held in street name, brokers ordinarily have the discretion to vote those shares on routine matters, but not on non-routine matters. Routine matters include ratification of the selection of independent public accountants. Non-routine matters include, among other things, election of directors (Proposal 1) and advisory votes to approve the compensation of our named executive officers (Proposal 3).</w:t>
      </w:r>
    </w:p>
    <w:p>
      <w:pPr>
        <w:spacing w:after="0" w:line="178"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i w:val="1"/>
          <w:iCs w:val="1"/>
          <w:color w:val="auto"/>
        </w:rPr>
        <w:t>Method and Expenses of Solicitation</w:t>
      </w:r>
      <w:r>
        <w:rPr>
          <w:rFonts w:ascii="Arial" w:cs="Arial" w:eastAsia="Arial" w:hAnsi="Arial"/>
          <w:sz w:val="17"/>
          <w:szCs w:val="17"/>
          <w:color w:val="auto"/>
        </w:rPr>
        <w:t>. We may solicit proxies personally and by telephone or facsimile or other electronic means by our regular</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without any additional remuneration. The cost of soliciting proxies will be borne by us. We will also make arrangements with brokerage houses and other custodians, nominees and fiduciaries to forward solicitation material to beneficial owners of stock held of record by such persons, and we will reimburse such persons for their reasonable out-of-pocket expenses in forwarding solicitation material.</w:t>
      </w:r>
    </w:p>
    <w:p>
      <w:pPr>
        <w:spacing w:after="0" w:line="171"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If your shares are registered in your own name, you may request paper copies of the proxy materials by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contained in the notice. Stockholders who have already made a permanent election to receive paper copies of the proxy materials will receive a full set of the proxy documents in the mail.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i w:val="1"/>
          <w:iCs w:val="1"/>
          <w:color w:val="auto"/>
        </w:rPr>
        <w:t>Beneficial Stockholders</w:t>
      </w:r>
      <w:r>
        <w:rPr>
          <w:rFonts w:ascii="Arial" w:cs="Arial" w:eastAsia="Arial" w:hAnsi="Arial"/>
          <w:sz w:val="16"/>
          <w:szCs w:val="16"/>
          <w:color w:val="auto"/>
        </w:rPr>
        <w:t>. If your shares are not registered in your name, you should receive written instructions on how to request paper copies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proxy materials from your bank or broker. We recommend that you contact your bank or broker if you do not receive these instructions.</w:t>
      </w:r>
    </w:p>
    <w:p>
      <w:pPr>
        <w:spacing w:after="0" w:line="124"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i w:val="1"/>
          <w:iCs w:val="1"/>
          <w:color w:val="auto"/>
        </w:rPr>
        <w:t>Attendance at the Annual Meeting</w:t>
      </w:r>
      <w:r>
        <w:rPr>
          <w:rFonts w:ascii="Arial" w:cs="Arial" w:eastAsia="Arial" w:hAnsi="Arial"/>
          <w:sz w:val="18"/>
          <w:szCs w:val="18"/>
          <w:color w:val="auto"/>
        </w:rPr>
        <w:t>. Attendance at the Annual Meeting will be limited to stockholders as of the record date, their authorized</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and our guests.</w:t>
      </w:r>
    </w:p>
    <w:p>
      <w:pPr>
        <w:spacing w:after="0" w:line="170"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i w:val="1"/>
          <w:iCs w:val="1"/>
          <w:color w:val="auto"/>
        </w:rPr>
        <w:t>Householding Information</w:t>
      </w:r>
      <w:r>
        <w:rPr>
          <w:rFonts w:ascii="Arial" w:cs="Arial" w:eastAsia="Arial" w:hAnsi="Arial"/>
          <w:sz w:val="16"/>
          <w:szCs w:val="16"/>
          <w:color w:val="auto"/>
        </w:rPr>
        <w:t>. We have adopted a procedure approved by the SEC called “householding”. Under this procedure, we are permitted to</w:t>
      </w:r>
      <w:r>
        <w:rPr>
          <w:rFonts w:ascii="Arial" w:cs="Arial" w:eastAsia="Arial" w:hAnsi="Arial"/>
          <w:sz w:val="16"/>
          <w:szCs w:val="16"/>
          <w:i w:val="1"/>
          <w:iCs w:val="1"/>
          <w:color w:val="auto"/>
        </w:rPr>
        <w:t xml:space="preserve"> </w:t>
      </w:r>
      <w:r>
        <w:rPr>
          <w:rFonts w:ascii="Arial" w:cs="Arial" w:eastAsia="Arial" w:hAnsi="Arial"/>
          <w:sz w:val="16"/>
          <w:szCs w:val="16"/>
          <w:color w:val="auto"/>
        </w:rPr>
        <w:t>deliver a single copy of our Notice of Internet Availability of Proxy Materials and, as applicable, any additional proxy materials that are delivered until such time as one or more of these stockholders notifies us that they want to receive separate copies. Householding allows us to reduce our printing and postage costs and reduces the volume of duplicative information you receive. Stockholders of record sharing an address who are receiving multiple copies of our Notice of Internet Availability of Proxy Materials and wish to receive a single copy of such material in the future should submit their request by contacting Broadridge Financial Solutions by telephone at 1-866-540-7095 or sending a written request via mail to Broadridge Financial Solutions, Householding Department, 51 Mercedes Way, Edgewood, NY 11717. If you are the beneficial owner, but not the record holder, of our shares and wish to receive only one copy of the Notice of Internet Availability of Proxy Materials in the future, you will need to contact your broker, bank or other nominee to request that only a single copy of such document be mailed to all stockholders at the shared address in the future.</w:t>
      </w:r>
    </w:p>
    <w:p>
      <w:pPr>
        <w:spacing w:after="0" w:line="16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Caesars Merger</w:t>
      </w:r>
      <w:r>
        <w:rPr>
          <w:rFonts w:ascii="Arial" w:cs="Arial" w:eastAsia="Arial" w:hAnsi="Arial"/>
          <w:sz w:val="17"/>
          <w:szCs w:val="17"/>
          <w:color w:val="auto"/>
        </w:rPr>
        <w:t>. On June 24, 2019, we entered into an agreement and plan of merger (the “Merger Agreement”) to consummate a strategic</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pursuant to which Caesars Entertainment Corporation will become a wholly-owned subsidiary of the Company (the “Merger”). The Merger Agreement provides that the Company is required to take all actions within its power as necessary or appropriate such that, immediately following the consummation of the Merger, the Board of Directors will consist of up to eleven directors to be designated by the Company as specified in the Merger Agreement. The proposed members of the Board of Directors of the Company following the Merger will be Thomas R. Reeg, Gary L. Carano, David P. Tomick, Frank J. Fahrenkopf Jr., Michael E. Pegram and Bonnie S. Biumi, each of whom is currently a member of the Board of Directors, and Keith Cozza, Janis Jones Blackhurst, Don Kornstein, Courtney Mather and James Nelson, each of whom is currently a member of the board of directors of Caesars Entertainment Corporation. In the event that the Merger is consummated prior to the scheduled date of the Annual Meeting, we intend to postpone the Annual Meeting and circulate proxy materials reflecting the nomination of the individuals that serve on the Board of Directors immediately following the Merger for election as members of the Board of Directors.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At the Annual Meeting to be held on June 29, 2020, our stockholders are being asked to elect directors, each of whom will serve until the next annual meeting of stockholders or until his or her successor has been elected and qualified, or until his or her earlier resignation or removal. All of the nominees were designated as directors at the last annual meeting of stockholders.</w:t>
      </w:r>
    </w:p>
    <w:p>
      <w:pPr>
        <w:spacing w:after="0" w:line="184" w:lineRule="exact"/>
        <w:rPr>
          <w:sz w:val="20"/>
          <w:szCs w:val="20"/>
          <w:color w:val="auto"/>
        </w:rPr>
      </w:pPr>
    </w:p>
    <w:p>
      <w:pPr>
        <w:jc w:val="both"/>
        <w:ind w:left="120" w:right="540" w:firstLine="440"/>
        <w:spacing w:after="0" w:line="263" w:lineRule="auto"/>
        <w:rPr>
          <w:sz w:val="20"/>
          <w:szCs w:val="20"/>
          <w:color w:val="auto"/>
        </w:rPr>
      </w:pPr>
      <w:r>
        <w:rPr>
          <w:rFonts w:ascii="Arial" w:cs="Arial" w:eastAsia="Arial" w:hAnsi="Arial"/>
          <w:sz w:val="18"/>
          <w:szCs w:val="18"/>
          <w:color w:val="auto"/>
        </w:rPr>
        <w:t>Directors will be elected by the affirmative vote of the holders of a plurality of the shares represented in person or by proxy at the meeting. Stockholders may not vote their shares cumulatively in the election of directors. Proxies cannot be voted for a greater number of persons than the number of nominees named.</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Any stockholder submitting a proxy has the right to withhold authority to vote for an individual nominee by writing that nominee’s name in the space provided on the proxy. Shares represented by all proxies received by us and not marked to withhold authority to vote for any individual director or for all directors will be voted FOR the election of all of the nominees named below. If for any reason any nominee is unable to accept the nomination or to serve as a director, an event not currently anticipated, the persons named as proxies reserve the right to exercise their discretionary authority to nominate someone else or to reduce the number of management nominees to such extent as the persons named as proxies may deem advisable.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Nominees for Directors</w:t>
      </w:r>
    </w:p>
    <w:p>
      <w:pPr>
        <w:spacing w:after="0" w:line="121" w:lineRule="exact"/>
        <w:rPr>
          <w:sz w:val="20"/>
          <w:szCs w:val="20"/>
          <w:color w:val="auto"/>
        </w:rPr>
      </w:pPr>
    </w:p>
    <w:p>
      <w:pPr>
        <w:ind w:left="120" w:right="160" w:firstLine="440"/>
        <w:spacing w:after="0" w:line="290" w:lineRule="auto"/>
        <w:rPr>
          <w:sz w:val="20"/>
          <w:szCs w:val="20"/>
          <w:color w:val="auto"/>
        </w:rPr>
      </w:pPr>
      <w:r>
        <w:rPr>
          <w:rFonts w:ascii="Arial" w:cs="Arial" w:eastAsia="Arial" w:hAnsi="Arial"/>
          <w:sz w:val="16"/>
          <w:szCs w:val="16"/>
          <w:color w:val="auto"/>
        </w:rPr>
        <w:t>Gary L. Carano, Bonnie Biumi, Frank J. Fahrenkopf Jr., James B. Hawkins, Gregory J. Kozicz, Michael E. Pegram, Thomas R. Reeg, David P. Tomick and Roger P. Wagner have been nominated to serve as directors by our Board of Directors (“Board”), based upon the recommendation of our Nominating &amp; Governance Committee. Pursuant to the terms of the merger agreement entered into in connection with our merger with Isle of Capri Casinos, Inc. (“Isle” or “Isle of Capri”), we agreed to take all actions necessary to expand the Board from seven directors to nine directors and appoint two members of the board of directors of Isle of Capri mutually agreed upon by us and Isle of Capri to fill the newly created vacancies and to use our reasonable best efforts to cause each such person to be re-elected to the Board at each of our two annual meetings of stockholders occurring after the closing of the merger with Isle of Capri. Ms. Biumi and Mr. Kozicz, who were members of the board of directors of Isle of Capri prior to the consummation of the merger, were appointed to the Board upon consummation of the merger on May 1, 2017.</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certain information regarding the nominees.</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880" w:type="dxa"/>
            <w:vAlign w:val="bottom"/>
            <w:gridSpan w:val="3"/>
          </w:tcPr>
          <w:p>
            <w:pPr>
              <w:ind w:left="460"/>
              <w:spacing w:after="0"/>
              <w:rPr>
                <w:sz w:val="20"/>
                <w:szCs w:val="20"/>
                <w:color w:val="auto"/>
              </w:rPr>
            </w:pPr>
            <w:r>
              <w:rPr>
                <w:rFonts w:ascii="Arial" w:cs="Arial" w:eastAsia="Arial" w:hAnsi="Arial"/>
                <w:sz w:val="14"/>
                <w:szCs w:val="14"/>
                <w:b w:val="1"/>
                <w:bCs w:val="1"/>
                <w:color w:val="auto"/>
              </w:rPr>
              <w:t>Position and Office Held</w:t>
            </w:r>
          </w:p>
        </w:tc>
      </w:tr>
      <w:tr>
        <w:trPr>
          <w:trHeight w:val="195"/>
        </w:trPr>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7"/>
              </w:rPr>
              <w:t>Gary</w:t>
            </w:r>
          </w:p>
        </w:tc>
        <w:tc>
          <w:tcPr>
            <w:tcW w:w="3480" w:type="dxa"/>
            <w:vAlign w:val="bottom"/>
          </w:tcPr>
          <w:p>
            <w:pPr>
              <w:ind w:left="40"/>
              <w:spacing w:after="0" w:line="195" w:lineRule="exact"/>
              <w:rPr>
                <w:sz w:val="20"/>
                <w:szCs w:val="20"/>
                <w:color w:val="auto"/>
              </w:rPr>
            </w:pPr>
            <w:r>
              <w:rPr>
                <w:rFonts w:ascii="Arial" w:cs="Arial" w:eastAsia="Arial" w:hAnsi="Arial"/>
                <w:sz w:val="18"/>
                <w:szCs w:val="18"/>
                <w:color w:val="auto"/>
              </w:rPr>
              <w:t>L. Carano</w:t>
            </w:r>
          </w:p>
        </w:tc>
        <w:tc>
          <w:tcPr>
            <w:tcW w:w="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68</w:t>
            </w:r>
          </w:p>
        </w:tc>
        <w:tc>
          <w:tcPr>
            <w:tcW w:w="480" w:type="dxa"/>
            <w:vAlign w:val="bottom"/>
          </w:tcPr>
          <w:p>
            <w:pPr>
              <w:spacing w:after="0"/>
              <w:rPr>
                <w:sz w:val="16"/>
                <w:szCs w:val="16"/>
                <w:color w:val="auto"/>
              </w:rPr>
            </w:pPr>
          </w:p>
        </w:tc>
        <w:tc>
          <w:tcPr>
            <w:tcW w:w="1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Executive Chairman</w:t>
            </w:r>
          </w:p>
        </w:tc>
        <w:tc>
          <w:tcPr>
            <w:tcW w:w="900" w:type="dxa"/>
            <w:vAlign w:val="bottom"/>
          </w:tcPr>
          <w:p>
            <w:pPr>
              <w:spacing w:after="0" w:line="195" w:lineRule="exact"/>
              <w:rPr>
                <w:sz w:val="20"/>
                <w:szCs w:val="20"/>
                <w:color w:val="auto"/>
              </w:rPr>
            </w:pPr>
            <w:r>
              <w:rPr>
                <w:rFonts w:ascii="Arial" w:cs="Arial" w:eastAsia="Arial" w:hAnsi="Arial"/>
                <w:sz w:val="18"/>
                <w:szCs w:val="18"/>
                <w:color w:val="auto"/>
                <w:w w:val="89"/>
              </w:rPr>
              <w:t>of the Board</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Bonnie Biumi(1)</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88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Frank J. Fahrenkopf(2)(4)</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288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James B. Hawkins(1)(3)</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288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Gregory J. Kozicz(3)</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88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Michael E. Pegram(2)(3)</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288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Thomas R. Reeg</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880" w:type="dxa"/>
            <w:vAlign w:val="bottom"/>
            <w:gridSpan w:val="3"/>
          </w:tcPr>
          <w:p>
            <w:pPr>
              <w:ind w:left="460"/>
              <w:spacing w:after="0"/>
              <w:rPr>
                <w:sz w:val="20"/>
                <w:szCs w:val="20"/>
                <w:color w:val="auto"/>
              </w:rPr>
            </w:pPr>
            <w:r>
              <w:rPr>
                <w:rFonts w:ascii="Arial" w:cs="Arial" w:eastAsia="Arial" w:hAnsi="Arial"/>
                <w:sz w:val="18"/>
                <w:szCs w:val="18"/>
                <w:color w:val="auto"/>
                <w:w w:val="93"/>
              </w:rPr>
              <w:t>Director; Chief Executive Officer</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David P. Tomick(1)(4)(5)</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288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Roger P. Wagner(3)(4)</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288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of the Compliance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of the Nominating &amp; Governance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following briefly describes the business experience and educational background of each nominee for director and details the Board’s reasons for selecting each nominee for service on the Board.</w:t>
      </w:r>
    </w:p>
    <w:p>
      <w:pPr>
        <w:spacing w:after="0" w:line="170"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b w:val="1"/>
          <w:bCs w:val="1"/>
          <w:i w:val="1"/>
          <w:iCs w:val="1"/>
          <w:color w:val="auto"/>
        </w:rPr>
        <w:t>Gary L. Carano</w:t>
      </w:r>
      <w:r>
        <w:rPr>
          <w:rFonts w:ascii="Arial" w:cs="Arial" w:eastAsia="Arial" w:hAnsi="Arial"/>
          <w:sz w:val="16"/>
          <w:szCs w:val="16"/>
          <w:color w:val="auto"/>
        </w:rPr>
        <w:t>, 68, has been Chairman of our Board of Directors since September 2014 and was our Chief Executive Officer from September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2014 until December 31, 2018, when he became Executive Chairman of our Board of Directors. Previously, Mr. Gary L. Carano served as President and Chief Operating Officer of Eldorado Resorts LLC from 2004 to September 2014, and as President and Chief Operating Officer of Eldorado</w:t>
      </w:r>
    </w:p>
    <w:p>
      <w:pPr>
        <w:spacing w:after="0" w:line="2" w:lineRule="exact"/>
        <w:rPr>
          <w:sz w:val="20"/>
          <w:szCs w:val="20"/>
          <w:color w:val="auto"/>
        </w:rPr>
      </w:pPr>
    </w:p>
    <w:p>
      <w:pPr>
        <w:ind w:left="120" w:right="300"/>
        <w:spacing w:after="0" w:line="268" w:lineRule="auto"/>
        <w:rPr>
          <w:sz w:val="20"/>
          <w:szCs w:val="20"/>
          <w:color w:val="auto"/>
        </w:rPr>
      </w:pPr>
      <w:r>
        <w:rPr>
          <w:rFonts w:ascii="Arial" w:cs="Arial" w:eastAsia="Arial" w:hAnsi="Arial"/>
          <w:sz w:val="17"/>
          <w:szCs w:val="17"/>
          <w:color w:val="auto"/>
        </w:rPr>
        <w:t>HoldCo LLC from 2009 to September 2014. Mr. Gary L. Carano served as the General Manager and Chief Executive Officer of the Silver Legacy Resort Casino from its opening in 1995 to September 2014. Mr. Gary L. Carano serves on the board of directors of Recreational Enterprises, Inc., a stockholder of the Company. Mr. Gary L. Carano has served on a number of charitable boards and foundations in the state of Nevada. Mr. Gary L. Carano holds a Bachelor’s degree in Business Administration from the University of Nevada, Reno. In May 2012, Silver Legacy filed a voluntary petition for reorganization under Chapter 11 of the U.S. Bankruptcy Code in the U.S. Bankruptcy Court for the District of Nevada. Silver Legacy emerged from its Chapter 11 reorganization proceedings in November 2012. Mr. Gary L. Carano has been selected to serve as director because of his extensive experience in the gaming and hospitality industry and because of his familiarity with the business of Eldorado Resorts, Inc. Mr. Gary L. Carano is Mr. Anthony L. Carano’s father.</w:t>
      </w:r>
    </w:p>
    <w:p>
      <w:pPr>
        <w:spacing w:after="0" w:line="183"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i w:val="1"/>
          <w:iCs w:val="1"/>
          <w:color w:val="auto"/>
        </w:rPr>
        <w:t>Bonnie Biumi</w:t>
      </w:r>
      <w:r>
        <w:rPr>
          <w:rFonts w:ascii="Arial" w:cs="Arial" w:eastAsia="Arial" w:hAnsi="Arial"/>
          <w:sz w:val="17"/>
          <w:szCs w:val="17"/>
          <w:color w:val="auto"/>
        </w:rPr>
        <w:t>, 58, was a director of Isle of Capri from October 2012 until May 1, 2017, at which time she was appointed to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in accordance with the provisions of the merger agreement with Isle of Capri. Ms. Biumi was President and Chief Financial Officer from 2007 to 2012 of Kerzner International Resorts, a developer, owner and operator of destination resorts, casinos and hotels. Previously, she held senior level financial positions at NCL Corporation, Ltd., Royal Caribbean Cruises, Ltd., Neff Corporation, Peoples Telephone Company, Inc. and Price Waterhouse. Ms. Biumi was a member of the board of directors of Home Properties, Inc., a publicly-traded company, from October 2013 to October 2015, and she is currently a member of the board of directors of Retail Properties of America, Inc., a publicly-traded company, where she serves as a member of the audit committee and chair of the compensation committee. She is a Certified Public Accountant. Ms. Biumi has been selected to serve as a director because of her extensive experience in corporate finance and accounting, investor relations, capital and strategic planning, mergers and acquisitions, as well as her service on the boards of other public companies. Ms. Biumi brings to the Board of Directors important perspectives with respect to leadership, financial and risk management.</w:t>
      </w:r>
    </w:p>
    <w:p>
      <w:pPr>
        <w:spacing w:after="0" w:line="18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i w:val="1"/>
          <w:iCs w:val="1"/>
          <w:color w:val="auto"/>
        </w:rPr>
        <w:t>Frank J. Fahrenkopf</w:t>
      </w:r>
      <w:r>
        <w:rPr>
          <w:rFonts w:ascii="Arial" w:cs="Arial" w:eastAsia="Arial" w:hAnsi="Arial"/>
          <w:sz w:val="16"/>
          <w:szCs w:val="16"/>
          <w:color w:val="auto"/>
        </w:rPr>
        <w:t>, 80, has served on our Board of Directors since September 2014. He served as President and Chief Executive Officer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American Gaming Association (“AGA”), an organization that represents the commercial casino-entertainment industry by addressing federal legislation and regulatory issues, from 1995 until June 2013. At the AGA, Mr. Fahrenkopf was the national advocate for the commercial casino industry and was responsible for positioning the AGA to address regulatory, political and educational issues affecting the gaming industry. Mr. Fahrenkopf is currently co-chairman of the Commission on Presidential Debates, which he founded and which conducts debates among presidential candidates. He serves as a board member of the International Republican Institute, which he founded. He also founded the National Endowment for Democracy, where he served as Vice Chairman and a board member from 1983 to 1992. Mr. Fahrenkopf served as chairman of the Republican National Committee from 1983 to 1989. Prior to his role at AGA, Mr. Fahrenkopf was a partner at Hogan &amp; Hartson, where he regularly represented clients before the Nevada gaming regulatory authorities. Mr. Fahrenkopf served as the first Chairman of the American Bar Association Committee on Gaming Law and was a founding Trustee and President of the International Association of Gaming Attorneys. Mr. Fahrenkopf also sits on the board of directors of 12 NYSE-listed public companies: First Republic Bank, Gabelli Equity Trust, Inc., Gabelli Utility Trust, Gabelli Global Multimedia Trust, Gabelli Dividend and Income Trust, Gabelli Gold and Natural Resources, Gabelli Small &amp; Midcap Value Fund, Gabelli Goanywhere Trust, Gabelli Natural Resources, Gold &amp; Income Trust, Gabelli NextShares Trust, Bankcroft Fund, and Ellsworth Growth &amp; Income Trust. He is a graduate of the University of Nevada, Reno and holds a Juris Doctor from the University of California Berkeley School of Law. Mr. Fahrenkopf has been selected to serve as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director because of his extensive knowledge of gaming regulatory matters, his relevant legal experience and his experience as a director of many organizations.</w:t>
      </w:r>
    </w:p>
    <w:p>
      <w:pPr>
        <w:spacing w:after="0" w:line="170"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b w:val="1"/>
          <w:bCs w:val="1"/>
          <w:i w:val="1"/>
          <w:iCs w:val="1"/>
          <w:color w:val="auto"/>
        </w:rPr>
        <w:t>James B. Hawkins</w:t>
      </w:r>
      <w:r>
        <w:rPr>
          <w:rFonts w:ascii="Arial" w:cs="Arial" w:eastAsia="Arial" w:hAnsi="Arial"/>
          <w:sz w:val="16"/>
          <w:szCs w:val="16"/>
          <w:color w:val="auto"/>
        </w:rPr>
        <w:t>, 64, has served on our Board of Directors since September 2014. Mr. Hawkins served as Chief Executive Officer and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of Natus Medical Incorporated (“Natus”) from April 2004 to July 2018, and as President of Natus from June 2013 to July 2018 and from April 2004 to January 2011. Mr. Hawkins has served as a director of OSI Systems, a publicly traded company that develops and markets security and inspection systems, since December 2015, and as a director of Iradimed Corporation, a publicly traded company that provides non-magnetic intravenous infusion pump systems, since June 2019 and from 2005 until June 2016. Mr. Hawkins previously served as a director of Digirad Corporation, a publicly traded company that provides diagnostic solutions in the science of imaging, from June 2012 until December 2014. Prior to joining Natus, Mr. Hawkins was President, Chief Executive Officer and on the board of directors of Invivo Corporation, a developer and manufacturer of vital sign monitoring equipment, and its predecessor, from 1985 until 2004, and as Secretary from 1986 until 2004. Mr. Hawkins earned a Bachelor’s degree in Business Commerce from Santa Clara University and an MBA from San Francisco State University. Mr. Hawkins has been selected to serve as a director because of his extensive experience in executive management oversight and as a director of multiple publicly traded companies.</w:t>
      </w:r>
    </w:p>
    <w:p>
      <w:pPr>
        <w:spacing w:after="0" w:line="164"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b w:val="1"/>
          <w:bCs w:val="1"/>
          <w:i w:val="1"/>
          <w:iCs w:val="1"/>
          <w:color w:val="auto"/>
        </w:rPr>
        <w:t>Gregory J. Kozicz</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58, was a director of Isle of Capri from January 2010 to May 1, 2017, at which time he was appointed to our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in accordance with the provisions of the merger agreement with Isle of Capri. Mr. Kozicz is chief executive officer of Alberici Corporation, a St. Louis-based diversified construction, engineering and steel fabrication company. He also served on the Eighth District Real Estate Industry Council of the Federal Reserve Bank of St. Louis from 2006-2016. He has served as president and chief executive officer of Alberici Corporation and Alberici Constructors since 2005 and June 2004, respectively. Prior to his current roles, Kozicz was president of Alberici Constructors Ltd. (Canada). Before joining Alberici in 2001, Kozicz served as a corporate officer and divisional president for Aecon, a publicly-traded construction, engineering and fabrication company. Mr. Kozicz has been selected to serve as a director because he brings extensive experience in the areas of construction, corporate leadership and executive management. Mr. Kozicz has served in various leadership roles and brings important perspectives to the Board of Directors particularly in the area of both private and public companies.</w:t>
      </w:r>
    </w:p>
    <w:p>
      <w:pPr>
        <w:spacing w:after="0" w:line="178"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b w:val="1"/>
          <w:bCs w:val="1"/>
          <w:i w:val="1"/>
          <w:iCs w:val="1"/>
          <w:color w:val="auto"/>
        </w:rPr>
        <w:t>Michael E. Pegram</w:t>
      </w:r>
      <w:r>
        <w:rPr>
          <w:rFonts w:ascii="Arial" w:cs="Arial" w:eastAsia="Arial" w:hAnsi="Arial"/>
          <w:sz w:val="16"/>
          <w:szCs w:val="16"/>
          <w:color w:val="auto"/>
        </w:rPr>
        <w:t>, 68, has served on our Board of Directors since September 2014. Mr. Pegram has been a partner in the Carson Valley Inn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Minden, Nevada since June 2009 and a partner in the Bodines Casino in Carson City, Nevada since January 2007. Mr. Pegram has more than thirty years of experience owning and operating twenty-five successful McDonald’s franchises. Mr. Pegram currently serves as a director of, and is the former Chairman of, the Thoroughbred Owners of California and has been the owner of a number of racehorses, including 1998 Kentucky Derby and Preakness Stakes winner, </w:t>
      </w:r>
      <w:r>
        <w:rPr>
          <w:rFonts w:ascii="Arial" w:cs="Arial" w:eastAsia="Arial" w:hAnsi="Arial"/>
          <w:sz w:val="16"/>
          <w:szCs w:val="16"/>
          <w:i w:val="1"/>
          <w:iCs w:val="1"/>
          <w:color w:val="auto"/>
        </w:rPr>
        <w:t>Real Quiet</w:t>
      </w:r>
      <w:r>
        <w:rPr>
          <w:rFonts w:ascii="Arial" w:cs="Arial" w:eastAsia="Arial" w:hAnsi="Arial"/>
          <w:sz w:val="16"/>
          <w:szCs w:val="16"/>
          <w:color w:val="auto"/>
        </w:rPr>
        <w:t xml:space="preserve">, 2010 Preakness Stakes winner, </w:t>
      </w:r>
      <w:r>
        <w:rPr>
          <w:rFonts w:ascii="Arial" w:cs="Arial" w:eastAsia="Arial" w:hAnsi="Arial"/>
          <w:sz w:val="16"/>
          <w:szCs w:val="16"/>
          <w:i w:val="1"/>
          <w:iCs w:val="1"/>
          <w:color w:val="auto"/>
        </w:rPr>
        <w:t>Lookin at Lucky</w:t>
      </w:r>
      <w:r>
        <w:rPr>
          <w:rFonts w:ascii="Arial" w:cs="Arial" w:eastAsia="Arial" w:hAnsi="Arial"/>
          <w:sz w:val="16"/>
          <w:szCs w:val="16"/>
          <w:color w:val="auto"/>
        </w:rPr>
        <w:t xml:space="preserve">, 1998 Breeders’ Cup Juvenile Fillies winner and 1999 Kentucky Oaks winner, </w:t>
      </w:r>
      <w:r>
        <w:rPr>
          <w:rFonts w:ascii="Arial" w:cs="Arial" w:eastAsia="Arial" w:hAnsi="Arial"/>
          <w:sz w:val="16"/>
          <w:szCs w:val="16"/>
          <w:i w:val="1"/>
          <w:iCs w:val="1"/>
          <w:color w:val="auto"/>
        </w:rPr>
        <w:t>Silverbulletday</w:t>
      </w:r>
      <w:r>
        <w:rPr>
          <w:rFonts w:ascii="Arial" w:cs="Arial" w:eastAsia="Arial" w:hAnsi="Arial"/>
          <w:sz w:val="16"/>
          <w:szCs w:val="16"/>
          <w:color w:val="auto"/>
        </w:rPr>
        <w:t xml:space="preserve">, 2001 Dubai World Cup winner, </w:t>
      </w:r>
      <w:r>
        <w:rPr>
          <w:rFonts w:ascii="Arial" w:cs="Arial" w:eastAsia="Arial" w:hAnsi="Arial"/>
          <w:sz w:val="16"/>
          <w:szCs w:val="16"/>
          <w:i w:val="1"/>
          <w:iCs w:val="1"/>
          <w:color w:val="auto"/>
        </w:rPr>
        <w:t>Captain Steve</w:t>
      </w:r>
      <w:r>
        <w:rPr>
          <w:rFonts w:ascii="Arial" w:cs="Arial" w:eastAsia="Arial" w:hAnsi="Arial"/>
          <w:sz w:val="16"/>
          <w:szCs w:val="16"/>
          <w:color w:val="auto"/>
        </w:rPr>
        <w:t xml:space="preserve">, and the 2007 and 2008 Breeders’ Cup Sprint winner, </w:t>
      </w:r>
      <w:r>
        <w:rPr>
          <w:rFonts w:ascii="Arial" w:cs="Arial" w:eastAsia="Arial" w:hAnsi="Arial"/>
          <w:sz w:val="16"/>
          <w:szCs w:val="16"/>
          <w:i w:val="1"/>
          <w:iCs w:val="1"/>
          <w:color w:val="auto"/>
        </w:rPr>
        <w:t>Midnight Lute</w:t>
      </w:r>
      <w:r>
        <w:rPr>
          <w:rFonts w:ascii="Arial" w:cs="Arial" w:eastAsia="Arial" w:hAnsi="Arial"/>
          <w:sz w:val="16"/>
          <w:szCs w:val="16"/>
          <w:color w:val="auto"/>
        </w:rPr>
        <w:t>. Additionally, Mr. Pegram has served as a director of Skagit State Bancorp since April 1997. Mr. Pegram has been selected to serve as a director because of his extensive experience in the horse racing industry and as an investor, business owner, and director of various companies.</w:t>
      </w:r>
    </w:p>
    <w:p>
      <w:pPr>
        <w:spacing w:after="0" w:line="165"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b w:val="1"/>
          <w:bCs w:val="1"/>
          <w:i w:val="1"/>
          <w:iCs w:val="1"/>
          <w:color w:val="auto"/>
        </w:rPr>
        <w:t>David P. Tomick</w:t>
      </w:r>
      <w:r>
        <w:rPr>
          <w:rFonts w:ascii="Arial" w:cs="Arial" w:eastAsia="Arial" w:hAnsi="Arial"/>
          <w:sz w:val="17"/>
          <w:szCs w:val="17"/>
          <w:color w:val="auto"/>
        </w:rPr>
        <w:t>, 68, has served on our Board of Directors since September 2014. Mr. Tomick co-founded Securus, Inc., a company involved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GPS monitoring and Personal Emergency Response business, and served as its Chief Financial Officer from 2008 to 2010 and as its Chairman from 2010 to March 2015. From 1997 to 2004 Mr. Tomick was Executive Vice President and Chief Financial Officer of SpectraSite, Inc., a NYSE-listed, wireless tower company. Mr. Tomick was, from 1994 to 1997, the Chief Financial Officer of Masada Security, a company involved in the security monitoring business and, from 1988 to 1994, the Vice President-Finance of Falcon Cable TV, where he was responsible for debt management, mergers and acquisitions, equity origination and investor relations. Prior to 1988, he managed a team of corporate finance professionals focusing on the communications industry for The First National Bank of Chicago. Mr. Tomick</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currently serves on the board of directors of Gryppers, Inc., Autocam Medical and First Choice Packaging and has served on the board of directors of the following organizations: Autocam Corporation, NuLink Digital and TransLoc, Inc. Mr. Tomick received his bachelor’s degree from Denison University and a masters of business administration from The Kellogg School of Management at Northwestern University. Mr. Tomick has been selected to serve as a director because of his financial and management expertise and his extensive experience with respect to raising capital, mergers and acquisitions, corporate governance and investor relations.</w:t>
      </w:r>
    </w:p>
    <w:p>
      <w:pPr>
        <w:spacing w:after="0" w:line="188" w:lineRule="exact"/>
        <w:rPr>
          <w:sz w:val="20"/>
          <w:szCs w:val="20"/>
          <w:color w:val="auto"/>
        </w:rPr>
      </w:pPr>
    </w:p>
    <w:p>
      <w:pPr>
        <w:ind w:left="120" w:right="120" w:firstLine="440"/>
        <w:spacing w:after="0" w:line="285" w:lineRule="auto"/>
        <w:rPr>
          <w:sz w:val="20"/>
          <w:szCs w:val="20"/>
          <w:color w:val="auto"/>
        </w:rPr>
      </w:pPr>
      <w:r>
        <w:rPr>
          <w:rFonts w:ascii="Arial" w:cs="Arial" w:eastAsia="Arial" w:hAnsi="Arial"/>
          <w:sz w:val="16"/>
          <w:szCs w:val="16"/>
          <w:b w:val="1"/>
          <w:bCs w:val="1"/>
          <w:i w:val="1"/>
          <w:iCs w:val="1"/>
          <w:color w:val="auto"/>
        </w:rPr>
        <w:t>Roger P. Wagner</w:t>
      </w:r>
      <w:r>
        <w:rPr>
          <w:rFonts w:ascii="Arial" w:cs="Arial" w:eastAsia="Arial" w:hAnsi="Arial"/>
          <w:sz w:val="16"/>
          <w:szCs w:val="16"/>
          <w:color w:val="auto"/>
        </w:rPr>
        <w:t>, 72, has served on our Board of Directors since September 2014 and was a member of the board of directors of MTR Gaming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Group, Inc. (“MTR”) from July 2010 to September 2014. Mr. Wagner has over forty years of experience in the gaming and hotel management industry. Mr. Wagner was a founding partner of House Advantage, LLC, a gaming consulting group that focuses on assisting gaming companies in improving market share and bottom line profits. Mr. Wagner served as Chief Operating Officer for Binion Enterprises LLC from 2008 to 2010, assisting Jack Binion in identifying gaming opportunities. From 2005 to 2007, Mr. Wagner served as Chief Operating Officer of Resorts International Holdings.</w:t>
      </w:r>
    </w:p>
    <w:p>
      <w:pPr>
        <w:spacing w:after="0" w:line="2" w:lineRule="exact"/>
        <w:rPr>
          <w:sz w:val="20"/>
          <w:szCs w:val="20"/>
          <w:color w:val="auto"/>
        </w:rPr>
      </w:pPr>
    </w:p>
    <w:p>
      <w:pPr>
        <w:ind w:left="120" w:right="260"/>
        <w:spacing w:after="0" w:line="281" w:lineRule="auto"/>
        <w:rPr>
          <w:sz w:val="20"/>
          <w:szCs w:val="20"/>
          <w:color w:val="auto"/>
        </w:rPr>
      </w:pPr>
      <w:r>
        <w:rPr>
          <w:rFonts w:ascii="Arial" w:cs="Arial" w:eastAsia="Arial" w:hAnsi="Arial"/>
          <w:sz w:val="16"/>
          <w:szCs w:val="16"/>
          <w:color w:val="auto"/>
        </w:rPr>
        <w:t>Mr. Wagner served as President of Horseshoe Gaming Holding Corp. from 2001 until its sale in 2004 and as its Senior Vice President and Chief Operating Officer from 1998 to 2001. Prior to joining Horseshoe, Mr. Wagner served as President of the development company for Trump Hotels &amp; Casino Resorts from 1996 to 1998, President and Chief Operating Officer of Trump Castle Casino Resort from 1991 to 1996 and President and Chief Operating Officer of Claridge Casino Hotel from 1983 to 1991. Prior to his employment by Claridge Casino Hotel, he was employed in various capacities by the Edgewater Hotel Casino, Sands Hotel Casino, MGM Grand Casino—Reno, Frontier Hotel Casino and Dunes Hotel Casino.</w:t>
      </w:r>
    </w:p>
    <w:p>
      <w:pPr>
        <w:spacing w:after="0" w:line="3"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Mr. Wagner holds a Bachelor of Science from the University of Nevada Las Vegas in Hotel Administration. Mr. Wagner has been selected to serve as a director because of his extensive experience in the gaming and hospitality industry.</w:t>
      </w:r>
    </w:p>
    <w:p>
      <w:pPr>
        <w:spacing w:after="0" w:line="185" w:lineRule="exact"/>
        <w:rPr>
          <w:sz w:val="20"/>
          <w:szCs w:val="20"/>
          <w:color w:val="auto"/>
        </w:rPr>
      </w:pPr>
    </w:p>
    <w:p>
      <w:pPr>
        <w:ind w:left="120" w:right="340" w:firstLine="440"/>
        <w:spacing w:after="0" w:line="291" w:lineRule="auto"/>
        <w:rPr>
          <w:sz w:val="20"/>
          <w:szCs w:val="20"/>
          <w:color w:val="auto"/>
        </w:rPr>
      </w:pPr>
      <w:r>
        <w:rPr>
          <w:rFonts w:ascii="Arial" w:cs="Arial" w:eastAsia="Arial" w:hAnsi="Arial"/>
          <w:sz w:val="16"/>
          <w:szCs w:val="16"/>
          <w:b w:val="1"/>
          <w:bCs w:val="1"/>
          <w:i w:val="1"/>
          <w:iCs w:val="1"/>
          <w:color w:val="auto"/>
        </w:rPr>
        <w:t>Thomas R. Reeg</w:t>
      </w:r>
      <w:r>
        <w:rPr>
          <w:rFonts w:ascii="Arial" w:cs="Arial" w:eastAsia="Arial" w:hAnsi="Arial"/>
          <w:sz w:val="16"/>
          <w:szCs w:val="16"/>
          <w:color w:val="auto"/>
        </w:rPr>
        <w:t>, 48, has served on our Board of Directors since September 2014, served as Chief Financial Officer from March 2016 to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and became our Chief Executive Officer in January 2019. Mr. Reeg served as our President from September 2014 until December 31, 2018.</w:t>
      </w:r>
    </w:p>
    <w:p>
      <w:pPr>
        <w:ind w:left="120" w:right="20"/>
        <w:spacing w:after="0" w:line="267" w:lineRule="auto"/>
        <w:rPr>
          <w:sz w:val="20"/>
          <w:szCs w:val="20"/>
          <w:color w:val="auto"/>
        </w:rPr>
      </w:pPr>
      <w:r>
        <w:rPr>
          <w:rFonts w:ascii="Arial" w:cs="Arial" w:eastAsia="Arial" w:hAnsi="Arial"/>
          <w:sz w:val="17"/>
          <w:szCs w:val="17"/>
          <w:color w:val="auto"/>
        </w:rPr>
        <w:t>Mr. Reeg served as a member of the board of managers of Eldorado Resorts LLC from December 2007 to September 2014, as Senior Vice President of Strategic Development for Resorts from January 2011 to September 2014 and a member of the executive committee of Silver Legacy (which is the governing body of Silver Legacy) from August 2011 through August 2014. Mr. Reeg serves on the board of directors of Recreational Enterprises, Inc., a stockholder of the Company. From September 2005 to November 2010, Mr. Reeg was a Senior Managing Director and founding partner of Newport Global Advisors L.P., which was an indirect stockholder of ours. Mr. Reeg was a member of the board of managers of NGA HoldCo, LLC, which was a stockholder of ours, from 2007 through 2011 and served on the board of directors of Autocam Corporation from 2007 to 2010. From 2002 to 2005 Mr. Reeg was a Managing Director and portfolio manager at AIG Global Investment Group (“AIG”), where he was responsible for co-management of the high-yield mutual fund portfolios. Prior to his role at AIG, Mr. Reeg was a senior high-yield research analyst covering various sectors, including the casino, lodging and leisure sectors, at Bank One Capital Markets. Mr. Reeg holds a Bachelor of Business Administration in Finance from the University of Notre Dame and is a Chartered Financial Analyst. Mr. Reeg has been selected to serve as a director because of his extensive financial experience and his familiarity with the business of Eldorado Resorts, Inc.</w:t>
      </w:r>
    </w:p>
    <w:p>
      <w:pPr>
        <w:spacing w:after="0" w:line="182" w:lineRule="exact"/>
        <w:rPr>
          <w:sz w:val="20"/>
          <w:szCs w:val="20"/>
          <w:color w:val="auto"/>
        </w:rPr>
      </w:pPr>
    </w:p>
    <w:p>
      <w:pPr>
        <w:ind w:left="120" w:right="360" w:firstLine="440"/>
        <w:spacing w:after="0" w:line="282" w:lineRule="auto"/>
        <w:rPr>
          <w:sz w:val="20"/>
          <w:szCs w:val="20"/>
          <w:color w:val="auto"/>
        </w:rPr>
      </w:pPr>
      <w:r>
        <w:rPr>
          <w:rFonts w:ascii="Arial" w:cs="Arial" w:eastAsia="Arial" w:hAnsi="Arial"/>
          <w:sz w:val="18"/>
          <w:szCs w:val="18"/>
          <w:b w:val="1"/>
          <w:bCs w:val="1"/>
          <w:color w:val="auto"/>
        </w:rPr>
        <w:t>THE BOARD UNANIMOUSLY RECOMMENDS A VOTE “FOR” THE ELECTION OF THE NOMINEES NAMED ABOVE FOR THEIR ELECTION AS DIRECTORS.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Board held fifteen (15) meetings and acted four (4) times by written consent during the year ended December 31, 2019. Each current director attended at least 75% of the aggregate number of all meetings of the Board of Directors and committees of which he or she was a member (from the time of the appointment to such committee) during such year.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To effectively support its responsibilities, the Board has three (3) committees: an Audit Committee, a Compensation Committee and a Nominating and Corporate Governance Committee. Each committee is currently comprised of independent directors. The Company also has a Compliance Committee, which is discussed in more detail below. For a director to be considered independent, the director must meet the bright line independence standards under the listing standards of The NASDAQ Stock Market, Inc. (“NASDAQ”) and the Board must affirmatively determine that the director has no material relationship with us, directly, or as a partner, stockholder or officer of an organization that has a relationship with us. The Board determines director independence based on an analysis of the independence requirements of the NASDAQ listing standards. In addition, the Board will consider all relevant facts and circumstances in making an independence determination. The Board also considers all commercial, industrial, banking, consulting, legal, accounting, charitable, familial or other business relationships any director may have with us. The Board has determined that the following seven directors satisfy the independence requirements of NASDAQ: Bonnie Biumi, Frank J. Fahrenkopf, James B. Hawkins, Gregory J. Kozicz, Michael E. Pegram, David P. Tomick and Roger P. Wagner.</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The Audit Committee of the Board of Directors was established by the Board in accordance with Section 3(a)(58)(A) of the Securities Exchange Act of 1934, as amended (the “Exchange Act”), to oversee our corporate accounting and financial reporting processes and audits of our financial statements. Our Audit Committee currently consists of Mr. Tomick, as Chair, and Ms. Biumi and Mr. Hawkins, all of whom are independent directors. During the year ended December 31, 2019, the Audit Committee held four (4) meetings. The Audit Committee’s responsibilities are discussed in a written charter adopted by the Board of Directors. The Audit Committee charter is available on our Internet website at ir.eldoradoresorts.com under “Governance—Governance Documents.” Our website and information contained on it or incorporated in it are not intended to be incorporated in this Proxy Statement or our other filings with the Securities and Exchange Commission.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ind w:left="120" w:right="60" w:firstLine="440"/>
        <w:spacing w:after="0" w:line="287" w:lineRule="auto"/>
        <w:rPr>
          <w:sz w:val="20"/>
          <w:szCs w:val="20"/>
          <w:color w:val="auto"/>
        </w:rPr>
      </w:pPr>
      <w:r>
        <w:rPr>
          <w:rFonts w:ascii="Arial" w:cs="Arial" w:eastAsia="Arial" w:hAnsi="Arial"/>
          <w:sz w:val="16"/>
          <w:szCs w:val="16"/>
          <w:color w:val="auto"/>
        </w:rPr>
        <w:t>Our Compensation Committee currently consists of Messrs. Wagner, as Chair, Hawkins, Kozicz and Pegram. The Board has determined that each of Messrs. Wagner, Hawkins, Kozicz and Pegram meet the NASDAQ independence requirements. The Compensation Committee’s responsibilities are outlined in a written charter adopted by the Board of Directors. During the year ended December 31, 2019, the Compensation Committee held five</w:t>
      </w:r>
    </w:p>
    <w:p>
      <w:pPr>
        <w:spacing w:after="0" w:line="2" w:lineRule="exact"/>
        <w:rPr>
          <w:sz w:val="20"/>
          <w:szCs w:val="20"/>
          <w:color w:val="auto"/>
        </w:rPr>
      </w:pPr>
    </w:p>
    <w:p>
      <w:pPr>
        <w:ind w:left="120" w:right="340" w:hanging="4"/>
        <w:spacing w:after="0" w:line="260" w:lineRule="auto"/>
        <w:tabs>
          <w:tab w:leader="none" w:pos="3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meetings. The Compensation Committee charter is available on our Internet website at ir.eldoradoresorts.com under “Governance—Governance Documents.”</w:t>
      </w:r>
    </w:p>
    <w:p>
      <w:pPr>
        <w:spacing w:after="0" w:line="18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Except as otherwise delegated by the Board of Directors or the Compensation Committee, the Compensation Committee acts on behalf of the Board with respect to compensation matters. The Compensation Committee makes recommendations (and, where appropriate, makes determinations) with respect to salaries, bonuses, restricted stock, and deferred compensation for our executive officers as well as the policies underlying the methods by which we compensate our executives. The Compensation Committee may form and delegate authority to subcommittees and may delegate authority to one or more designated Compensation Committee members to perform certain of its duties on its behalf, including, to the extent permitted by applicable law, the delegation to a subcommittee of one director the authority to grant stock options and equity awards. The Compensation Committee reviews the recommendations of our Chief Executive Officer (“CEO”) with respect to individual elements of the total compensation of our executive officers (other than the CEO) and key management.</w:t>
      </w:r>
    </w:p>
    <w:p>
      <w:pPr>
        <w:spacing w:after="0" w:line="17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i w:val="1"/>
          <w:iCs w:val="1"/>
          <w:color w:val="auto"/>
        </w:rPr>
        <w:t>Compensation Policies and Risk Management</w:t>
      </w:r>
      <w:r>
        <w:rPr>
          <w:rFonts w:ascii="Arial" w:cs="Arial" w:eastAsia="Arial" w:hAnsi="Arial"/>
          <w:sz w:val="17"/>
          <w:szCs w:val="17"/>
          <w:color w:val="auto"/>
        </w:rPr>
        <w:t>. It is the responsibility of the Compensation Committee to review our compensation policies and</w:t>
      </w:r>
      <w:r>
        <w:rPr>
          <w:rFonts w:ascii="Arial" w:cs="Arial" w:eastAsia="Arial" w:hAnsi="Arial"/>
          <w:sz w:val="17"/>
          <w:szCs w:val="17"/>
          <w:i w:val="1"/>
          <w:iCs w:val="1"/>
          <w:color w:val="auto"/>
        </w:rPr>
        <w:t xml:space="preserve"> </w:t>
      </w:r>
      <w:r>
        <w:rPr>
          <w:rFonts w:ascii="Arial" w:cs="Arial" w:eastAsia="Arial" w:hAnsi="Arial"/>
          <w:sz w:val="17"/>
          <w:szCs w:val="17"/>
          <w:color w:val="auto"/>
        </w:rPr>
        <w:t>practices in the context of their potential encouragement of excessive risk-taking behavior. We believe that any risks arising from our current compensation policies and practices are not reasonably likely to have a material adverse effect on us. As described in the section entitled “</w:t>
      </w:r>
      <w:r>
        <w:rPr>
          <w:rFonts w:ascii="Arial" w:cs="Arial" w:eastAsia="Arial" w:hAnsi="Arial"/>
          <w:sz w:val="17"/>
          <w:szCs w:val="17"/>
          <w:i w:val="1"/>
          <w:iCs w:val="1"/>
          <w:color w:val="auto"/>
        </w:rPr>
        <w:t>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Discussion and Analysis</w:t>
      </w:r>
      <w:r>
        <w:rPr>
          <w:rFonts w:ascii="Arial" w:cs="Arial" w:eastAsia="Arial" w:hAnsi="Arial"/>
          <w:sz w:val="17"/>
          <w:szCs w:val="17"/>
          <w:color w:val="auto"/>
        </w:rPr>
        <w:t>” below, we continue to review and develop our compensation policies with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objective of ensuring that management incentives promote disciplined, sustainable achievement of our long-term goals.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Our Nominating and Governance Committee currently consists of Messrs. Fahrenkopf, as Chair, Tomick, and Wagner. The Nominating and Governance Committee’s responsibilities are discussed in a written charter adopted by the Board of Directors. The Nominating and Governance Committee charter is available on our Internet website at ir.eldoradoresorts.com under “Governance—Governance Documents.” Our Board of Directors has determined that each of the members of the Nominating and Governance Committee is “independent” within the meaning of the general independence standards in the listing standards of NASDAQ. During the year ended December 31, 2019, the Nominating and Governance Committee held four (4) meetings. The primary purposes and responsibilities of the Nominating and Governance Committee are to (1) identify and vet individuals qualified to become directors, consistent with the criteria approved by our Board of Directors set forth in the Nominating and Governance Committee Charter, (2) nominate qualified individuals for election to the Board of Directors at the next annual meeting of stockholders, and (3) in consultation with the Chairperson of the Board, review the operational relationship of the various committees of the Board as set forth in the Nominating and Governance Committee Charter.</w:t>
      </w:r>
    </w:p>
    <w:p>
      <w:pPr>
        <w:spacing w:after="0" w:line="18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i w:val="1"/>
          <w:iCs w:val="1"/>
          <w:color w:val="auto"/>
        </w:rPr>
        <w:t>Director Candidate Recommendations and Nominations by Stockholders</w:t>
      </w:r>
      <w:r>
        <w:rPr>
          <w:rFonts w:ascii="Arial" w:cs="Arial" w:eastAsia="Arial" w:hAnsi="Arial"/>
          <w:sz w:val="18"/>
          <w:szCs w:val="18"/>
          <w:color w:val="auto"/>
        </w:rPr>
        <w:t>. The Nominating and Governance Committee’s Charter provides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Nominating and Governance Committee will consider director candidate nominations by stockholders. In evaluating nominations received from stockholders, the Nominating and Governance Committee will apply the same criteria and follow the same process set forth in the Nominating and Governance Committee Charter as it would with its own nominations.</w:t>
      </w:r>
    </w:p>
    <w:p>
      <w:pPr>
        <w:spacing w:after="0" w:line="187"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i w:val="1"/>
          <w:iCs w:val="1"/>
          <w:color w:val="auto"/>
        </w:rPr>
        <w:t>Nominating and Governance Committee Process for Identifying and Evaluating Director Candidates</w:t>
      </w:r>
      <w:r>
        <w:rPr>
          <w:rFonts w:ascii="Arial" w:cs="Arial" w:eastAsia="Arial" w:hAnsi="Arial"/>
          <w:sz w:val="16"/>
          <w:szCs w:val="16"/>
          <w:color w:val="auto"/>
        </w:rPr>
        <w:t>. The Nominating and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identifies and evaluates all director candidates in accordance with the director qualification standards described in the Nominating and Governance Committee Charter. In identifying candidates, the Nominating and Governance Committee has the authority to engage and terminate any third-party search firm that is used to identify director candidates and has the authority to approve the fees and retention terms of any search firm. The Nominating and Governance Committee evaluates any candidate’s qualifications to serve as a member of our Board based on the totality of the merits of the candidate and not based on minimum qualifications or attributes. In evaluating a candidate, the Nominating and Governance Committee takes into account the background and expertise of individual Board members as well as the background and expertise of our Board as a whole. In addition, the Nominating and Governance Committee evaluates a candidate’s independence and his or her background and expertise in the context of our Board’s needs. The Nominating and Governance Committee Charter requires that the Nominating and Governance Committee ascertain that each nominee has:</w:t>
      </w:r>
    </w:p>
    <w:p>
      <w:pPr>
        <w:spacing w:after="0" w:line="6" w:lineRule="exact"/>
        <w:rPr>
          <w:sz w:val="20"/>
          <w:szCs w:val="20"/>
          <w:color w:val="auto"/>
        </w:rPr>
      </w:pPr>
    </w:p>
    <w:p>
      <w:pPr>
        <w:ind w:left="340" w:hanging="224"/>
        <w:spacing w:after="0"/>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demonstrated business and industry experience that is relevant to us; (ii) the ability to meet the suitability requirements of all relevant regulatory</w:t>
      </w:r>
    </w:p>
    <w:p>
      <w:pPr>
        <w:spacing w:after="0" w:line="20"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6"/>
          <w:szCs w:val="16"/>
          <w:color w:val="auto"/>
        </w:rPr>
        <w:t>agencies; (iii) freedom from potential conflicts of interest with us and independence from management with respect to independent director nominees;</w:t>
      </w:r>
    </w:p>
    <w:p>
      <w:pPr>
        <w:spacing w:after="0" w:line="32" w:lineRule="exact"/>
        <w:rPr>
          <w:rFonts w:ascii="Arial" w:cs="Arial" w:eastAsia="Arial" w:hAnsi="Arial"/>
          <w:sz w:val="17"/>
          <w:szCs w:val="17"/>
          <w:color w:val="auto"/>
        </w:rPr>
      </w:pPr>
    </w:p>
    <w:p>
      <w:pPr>
        <w:ind w:left="120" w:right="80" w:hanging="4"/>
        <w:spacing w:after="0" w:line="271" w:lineRule="auto"/>
        <w:tabs>
          <w:tab w:leader="none" w:pos="42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ability to represent the interests of stockholders; (v) the ability to demonstrate a reasonable level of financial literacy; (vi) the availability to work with us and dedicate sufficient time and energy to his or her board duties; (vii) an established reputation for good character, honesty, integrity, prudent business skills, leadership abilities as well as moral and ethical bearing; and (viii) the ability to work constructively with our other directors and management. The Nominating and Governance Committee may also take into consideration whether a candidate’s background and skills meet any specific needs of the Board that the Nominating and Governance Committee has identified.</w:t>
      </w:r>
    </w:p>
    <w:p>
      <w:pPr>
        <w:spacing w:after="0" w:line="178"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i w:val="1"/>
          <w:iCs w:val="1"/>
          <w:color w:val="auto"/>
        </w:rPr>
        <w:t>Diversity</w:t>
      </w:r>
      <w:r>
        <w:rPr>
          <w:rFonts w:ascii="Arial" w:cs="Arial" w:eastAsia="Arial" w:hAnsi="Arial"/>
          <w:sz w:val="16"/>
          <w:szCs w:val="16"/>
          <w:color w:val="auto"/>
        </w:rPr>
        <w:t>. The Nominating and Governance Committee takes into account diversity in professional and personal experience, background, skills,</w:t>
      </w:r>
      <w:r>
        <w:rPr>
          <w:rFonts w:ascii="Arial" w:cs="Arial" w:eastAsia="Arial" w:hAnsi="Arial"/>
          <w:sz w:val="16"/>
          <w:szCs w:val="16"/>
          <w:i w:val="1"/>
          <w:iCs w:val="1"/>
          <w:color w:val="auto"/>
        </w:rPr>
        <w:t xml:space="preserve"> </w:t>
      </w:r>
      <w:r>
        <w:rPr>
          <w:rFonts w:ascii="Arial" w:cs="Arial" w:eastAsia="Arial" w:hAnsi="Arial"/>
          <w:sz w:val="16"/>
          <w:szCs w:val="16"/>
          <w:color w:val="auto"/>
        </w:rPr>
        <w:t>race, gender and other factors of diversity that it considers relevant to the needs of the Board. The Nominating and Governance Committee does not have a formal policy regarding diversity in identifying candidates; however, the Nominating and Governance Committee may consider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periodically, at the request of the Board, the desired composition of the Board, including such factors as expertise and diversity.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Compliance Committee</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As a publicly traded corporation registered with and licensed by multiple regulatory bodies and as required by the Mississippi Gaming Commission, Nevada Gaming Commission, and New Jersey Casino Control Commission, we maintain a Compliance Committee which implements and administers our Compliance Plan. The Compliance Committee’s duties include investigating key employees, vendors of goods and services, sources of financing, consultants, lobbyists and others who wish to do substantial business with us or our subsidiaries and making recommendations to our management concerning suitability. Our Compliance Committee currently includes independent directors Messrs. Fahrenkopf and Pegram, and non-director members A.J. “Bud” Hicks (who serves as the chairperson and an independent member of the Committee), Anthony L. Carano, Stephanie Lepori and Jeffrey Hendricks (who serves as the Compliance Officer). Mr. Edmund L. Quatmann, Jr. also serves as an ex-officio member of the Committee. The Compliance Committee held four (4) meetings in 2019.</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No member of the Compensation Committee is, or during 2019 was, or has previously been, an officer or employee of us or our subsidiaries. During 2019, no member of the Compensation Committee had any direct or indirect material interest in a transaction or a business relationship with us that would require disclosure under the rules of the SEC relating to disclosure of related party transactions. In 2019, none of our executive officers served on the board of directors or compensation committee of any entity that had one or more of its executive officers serving on our Board or the Compensation Committee.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Communications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Stockholders may communicate with the Board of Directors by sending written correspondence to the Chairman of the Nominating and Governance Committee at the following address: Eldorado Resorts, Inc., 100 West Liberty St., Suite 1150, Reno, NV 89501, Attention: Corporate Secretary. The Chairman of the Nominating and Governance Committee and his or her duly authorized representatives shall be responsible for collecting and organizing stockholder communications. Absent a conflict of interest, the Corporate Secretary is responsible for evaluating the materiality of each stockholder communication and determining whether further distribution is appropriate, and, if so, whether to (i) the full Board, (ii) one or more Board members and/or (iii) other individuals or entities.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 and Risk Oversight</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Mr. Gary L. Carano is Executive Chairman of the Board of Directors, Mr. Reeg is our Chief Executive Officer and Mr. Anthony L. Carano is our President and Chief Operating Officer. In these roles, Messrs. Reeg and Anthony L. Carano have general charge and management of our affairs, property and business, while Mr. Gary L. Carano provides independent oversight of senior management and Board matters and serves as a valuable bridge between our Board of Directors and our management. In addition, the Executive Chairman provides guidance to the Chief Executive Officer, sets the agenda of the Board of Directors in consultation with the Chief Executive Officer and Lead Independent Director and presides over meetings of stockholders and the Board.</w:t>
      </w:r>
    </w:p>
    <w:p>
      <w:pPr>
        <w:spacing w:after="0" w:line="192"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Mr. Tomick is our Lead Independent Director. He has, in addition to the powers and authorities of any member of the Board of Directors, the power and authority to chair executive sessions and to work closely with the Executive Chairman in determining the appropriate schedule for the Board of Directors meetings and assessing the quality, quantity and timeliness of information provided from our management to the Board of Directors. The Lead Independent Director position is at all times held by a director who is “independent” as defined in Nasdaq Rule 5605(a)(2).</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Board believes that this leadership structure is appropriate at this time. Although the roles of Chief Executive Officer and Chairman of the Board are currently separate, the Board does not have a policy regarding the separation of the roles of Chief Executive Officer and Chairman of the Board, as the Board believes it is in our best interests and the best interests of our stockholders to make that determination based on the position and direction of our Company and the composition of the Board. We believe this structure facilitates independent oversight of management while fostering effective communication between our management and the Board.</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senior management is responsible for the day-to-day assessment and management of our risks, and our Board is responsible for oversight of our enterprise risk management in general. The risks facing us include risks associated with our financial condition, liquidity, operating performance, ability to meet our debt and master lease obligations and regulations applicable to our operations and compliance therewith. The Board’s oversight is primarily managed and coordinated through Board committees. Our Audit Committee oversees risk management with respect to our significant financial and accounting policies as well as the effectiveness of management’s processes that monitor and manage key business risks, and the Compliance Committee is responsible for overseeing risks associated with our gaming activities and regulatory compliance. Additionally, the Compensation Committee oversees risks related to compensation policies. The Audit, Compensation and Compliance Committees report their findings to the full Board. In addition, at its meetings, the Board discusses risks that we face, including those management has highlighted as the most relevant risks. Furthermore, the Board’s oversight of enterprise risk involves assessment of the risk inherent in our long-term strategies, as well as other matters brought to the attention of the Board. We believe that the structure and experience of our Board allows our directors to provide effective oversight of risk management. The Board recognizes that it is our responsibility and the responsibility of our management to identify and attempt to mitigate risks that could cause significant damage to our business or stockholder value.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 Financial Expert</w:t>
      </w:r>
    </w:p>
    <w:p>
      <w:pPr>
        <w:spacing w:after="0" w:line="12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Securities and Exchange Commission adopted a rule requiring disclosure concerning the presence of at least one “audit committee financial expert” on audit committees. Our Board has determined that each of Ms. Biumi and Messrs. Hawkins and Tomick qualify as an “audit committee financial expert” as defined by the Securities and Exchange Commission and that each of them is independent, as independence for Audit Committee members is defined pursuant to the applicable NASDAQ listing requirements.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We have adopted a code of ethics and business conduct applicable to all directors and employees, including the Chief Executive Officer, Chief Financial Officer and Principal Accounting Officer. The code of ethics and business conduct is posted on our website, ir.eldoradoresorts.com under “Governance—Governance Documents” and a printed copy will be delivered on request by writing to the Corporate Secretary at Eldorado Resorts, Inc., c/o Corporate Secretary, 100 West Liberty Street, Suite 1150, Reno, Nevada, 89501. We intend to satisfy the disclosure requirement regarding certain amendments to, or waivers from, provisions of our code of ethics and business conduct by posting such information on our website.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Hedging Policy</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Company’s Securities Trading Policy provides that no director, officer or employee of the Company or other controlled businesses (“Eldorado Companies”) may enter into short sales of Company Securities (defined below) or buy or sell exchange-traded options (puts or calls) on Company Securities.</w:t>
      </w:r>
    </w:p>
    <w:p>
      <w:pPr>
        <w:spacing w:after="0" w:line="184"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“Company Securities” means any stock, bond (including convertible notes), debentures, options, warrants or other marketable equity or debt security issued by any Eldorado Company; and any security or other instrument issued by an unrelated third party and based on any equity or debt security (including exchange-traded options and credit default swaps) of any Eldorado Company.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Ownership of Certain Beneficial Owners and Management</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following table sets forth, as of the record date, the ownership of the presently issued and outstanding shares of our common stock by persons known by us to be a beneficial owner of 5% or more of such stock, and the ownership of such stock by our named executive officers and directors, individually and as a group. Unless otherwise indicated, the address for each of the stockholders listed below is c/o 100 West Liberty Street, Suite 1150, Reno, Nevada, 89501.</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Amount and</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5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7"/>
              </w:rPr>
              <w:t>Nature of</w:t>
            </w: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7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Beneficial</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580" w:type="dxa"/>
            <w:vAlign w:val="bottom"/>
            <w:gridSpan w:val="2"/>
            <w:vMerge w:val="continue"/>
          </w:tcPr>
          <w:p>
            <w:pPr>
              <w:spacing w:after="0"/>
              <w:rPr>
                <w:sz w:val="13"/>
                <w:szCs w:val="13"/>
                <w:color w:val="auto"/>
              </w:rPr>
            </w:pPr>
          </w:p>
        </w:tc>
        <w:tc>
          <w:tcPr>
            <w:tcW w:w="1500" w:type="dxa"/>
            <w:vAlign w:val="bottom"/>
            <w:gridSpan w:val="2"/>
          </w:tcPr>
          <w:p>
            <w:pPr>
              <w:jc w:val="center"/>
              <w:ind w:right="620"/>
              <w:spacing w:after="0" w:line="158" w:lineRule="exact"/>
              <w:rPr>
                <w:sz w:val="20"/>
                <w:szCs w:val="20"/>
                <w:color w:val="auto"/>
              </w:rPr>
            </w:pPr>
            <w:r>
              <w:rPr>
                <w:rFonts w:ascii="Arial" w:cs="Arial" w:eastAsia="Arial" w:hAnsi="Arial"/>
                <w:sz w:val="14"/>
                <w:szCs w:val="14"/>
                <w:b w:val="1"/>
                <w:bCs w:val="1"/>
                <w:color w:val="auto"/>
                <w:w w:val="93"/>
              </w:rPr>
              <w:t>Ownership</w:t>
            </w:r>
          </w:p>
        </w:tc>
        <w:tc>
          <w:tcPr>
            <w:tcW w:w="104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7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FMR LLC(1)</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10,491,077</w:t>
            </w:r>
          </w:p>
        </w:tc>
        <w:tc>
          <w:tcPr>
            <w:tcW w:w="6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BlackRock, Inc.(2)</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9,627,303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Recreational Enterprises, Inc.(3)</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8,604,325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The Vanguard Group, LLC(4)</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5,896,946</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Canyon Capital Advisors LLC(5)</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5,250,594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Gary L. Carano(6)</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464,551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Bonnie Biumi(7)</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21,862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Frank J. Fahrenkopf(8)</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46,082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B. Hawkins(9)</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128,082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Gregory J. Kozicz(10)</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15,390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E. Pegram(11)</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127,779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Thomas R. Reeg(12)</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248,668</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Tomick(11)(14)</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58,882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Roger P. Wagner</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112,945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L. Carano(13)</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79,300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Edmund L. Quatmann, Jr.(15)</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116,121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Bret Yunker</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36,874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All Board Members and Executive Officers as a Group(16)</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1,456,536</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Indicates less than one percent.</w:t>
      </w:r>
    </w:p>
    <w:p>
      <w:pPr>
        <w:spacing w:after="0" w:line="23" w:lineRule="exact"/>
        <w:rPr>
          <w:sz w:val="20"/>
          <w:szCs w:val="20"/>
          <w:color w:val="auto"/>
        </w:rPr>
      </w:pPr>
    </w:p>
    <w:p>
      <w:pPr>
        <w:ind w:left="540" w:right="140" w:hanging="424"/>
        <w:spacing w:after="0" w:line="281"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Information regarding the number of shares beneficially owned is included herein in reliance on Schedule 13G/A as filed with the Securities and Exchange Commission on February 7, 2020. The address of FMR LLC is 245 Summer Street, Boston, Massachusetts 02210.</w:t>
      </w:r>
    </w:p>
    <w:p>
      <w:pPr>
        <w:spacing w:after="0" w:line="1" w:lineRule="exact"/>
        <w:rPr>
          <w:rFonts w:ascii="Arial" w:cs="Arial" w:eastAsia="Arial" w:hAnsi="Arial"/>
          <w:sz w:val="16"/>
          <w:szCs w:val="16"/>
          <w:color w:val="auto"/>
        </w:rPr>
      </w:pPr>
    </w:p>
    <w:p>
      <w:pPr>
        <w:ind w:left="540" w:right="140" w:hanging="424"/>
        <w:spacing w:after="0" w:line="281"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Information regarding the number of shares beneficially owned is included herein in reliance on Schedule 13G/A as filed with the Securities and Exchange Commission on February 4, 2020. The address of BlackRock, Inc. is 55 East 52</w:t>
      </w:r>
      <w:r>
        <w:rPr>
          <w:rFonts w:ascii="Arial" w:cs="Arial" w:eastAsia="Arial" w:hAnsi="Arial"/>
          <w:sz w:val="13"/>
          <w:szCs w:val="13"/>
          <w:color w:val="auto"/>
        </w:rPr>
        <w:t>nd</w:t>
      </w:r>
      <w:r>
        <w:rPr>
          <w:rFonts w:ascii="Arial" w:cs="Arial" w:eastAsia="Arial" w:hAnsi="Arial"/>
          <w:sz w:val="16"/>
          <w:szCs w:val="16"/>
          <w:color w:val="auto"/>
        </w:rPr>
        <w:t xml:space="preserve"> Street, New York, New York 10055.</w:t>
      </w:r>
    </w:p>
    <w:p>
      <w:pPr>
        <w:spacing w:after="0" w:line="1" w:lineRule="exact"/>
        <w:rPr>
          <w:rFonts w:ascii="Arial" w:cs="Arial" w:eastAsia="Arial" w:hAnsi="Arial"/>
          <w:sz w:val="16"/>
          <w:szCs w:val="16"/>
          <w:color w:val="auto"/>
        </w:rPr>
      </w:pPr>
    </w:p>
    <w:p>
      <w:pPr>
        <w:ind w:left="540" w:right="40" w:hanging="424"/>
        <w:spacing w:after="0" w:line="265"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voting stock of Recreational Enterprises, Inc. (“REI”) is beneficially owned by the following members of the Carano family in the following percentages: The Donald L. Carano Trust—49.5%; Gary L. Carano—10.1%; Gene R. Carano—10.1%; Gregg R. Carano—10.1%; Cindy L. Carano—10.1% and Glenn T. Carano—10.1%. The voting power and dispositive power with respect to REI’s interest in us is controlled by REI’s board of directors that is elected by the family members (voting in proportion to the percentages above). Gary L. Carano holds his interest in REI directly and indirectly through various trusts. In addition, Gary L. Carano and Thomas R. Reeg are members of the board of directors of REI. Mr. Gary L. Carano and Mr. Reeg do not have voting or dispositive power with respect to the shares of common stock held by REI and disclaim beneficial ownership of such shares of common stock. Information regarding the number of shares beneficially owned is included herein in reliance on Schedule 13D as filed with the Securities and Exchange Commission on March 19, 2020. The address of REI is P.O. Box 2540, Reno, Nevada 89505.</w:t>
      </w:r>
    </w:p>
    <w:p>
      <w:pPr>
        <w:spacing w:after="0" w:line="1" w:lineRule="exact"/>
        <w:rPr>
          <w:rFonts w:ascii="Arial" w:cs="Arial" w:eastAsia="Arial" w:hAnsi="Arial"/>
          <w:sz w:val="17"/>
          <w:szCs w:val="17"/>
          <w:color w:val="auto"/>
        </w:rPr>
      </w:pPr>
    </w:p>
    <w:p>
      <w:pPr>
        <w:ind w:left="540" w:right="140" w:hanging="424"/>
        <w:spacing w:after="0" w:line="323"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Information regarding the number of shares beneficially owned is included herein in reliance on Schedule 13G/A as filed with the Securities and Exchange Commission on February 12, 2020. The address of The Vanguard Group, LLC is 100 Vanguard Blvd, Malvern, PA 19355.</w:t>
      </w:r>
    </w:p>
    <w:p>
      <w:pPr>
        <w:spacing w:after="0" w:line="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5"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regarding the number of shares beneficially owned is included herein in reliance on Schedule 13G as filed with the Securities and Exchange Commission on February 14, 2020. The address of Canyon Capital Advisors LLC is 2000 Avenue of the Stars, 11</w:t>
      </w:r>
      <w:r>
        <w:rPr>
          <w:rFonts w:ascii="Arial" w:cs="Arial" w:eastAsia="Arial" w:hAnsi="Arial"/>
          <w:sz w:val="15"/>
          <w:szCs w:val="15"/>
          <w:color w:val="auto"/>
        </w:rPr>
        <w:t>th</w:t>
      </w:r>
      <w:r>
        <w:rPr>
          <w:rFonts w:ascii="Arial" w:cs="Arial" w:eastAsia="Arial" w:hAnsi="Arial"/>
          <w:sz w:val="18"/>
          <w:szCs w:val="18"/>
          <w:color w:val="auto"/>
        </w:rPr>
        <w:t xml:space="preserve"> Floor, Los Angeles, CA 90067.</w:t>
      </w:r>
    </w:p>
    <w:p>
      <w:pPr>
        <w:spacing w:after="0" w:line="2"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Represents shares of common stock owned directly by Mr. Gary L. Carano and indirectly by Mr. Gary L. Carano through the Gary L. Carano S Corporation Trust and includes 199,174 shares of common stock that are subject to a pledge arrangement. In addition to the shares of our common stock reported in the table above, Gary L. Carano holds a 10.1% ownership interest in, and is a member of the board of directors of, REI. He does not hold voting power or dispositive power with respect to REI’s 8,604,325 shares of our common stock and he disclaims beneficial ownership of REI’s 8,604,325 shares of our common stock except to the extent of any pecuniary interest therein.</w:t>
      </w: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4,612 deferred RSUs that are acquirable within 60 days.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46,082 deferred RSUs that are acquirable within 60 days.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46,082 deferred RSUs that are acquirable within 60 days.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11,862 deferred RSUs that are acquirable within 60 days.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41,470 deferred RSUs that are acquirable within 60 days.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153,174 shares of common stock that are subject to a pledge arrangement.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45,996 shares of common stock that are subject to a pledge arrangement.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4,700 shares owned by Mr. Tomick’s wife and 700 shares owned by Mr. Tomick’s son who lives with him.</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22,520 shares issuable upon the exercise of stock options that are exercisable within 60 days.</w:t>
      </w:r>
    </w:p>
    <w:p>
      <w:pPr>
        <w:spacing w:after="0" w:line="9" w:lineRule="exact"/>
        <w:rPr>
          <w:rFonts w:ascii="Arial" w:cs="Arial" w:eastAsia="Arial" w:hAnsi="Arial"/>
          <w:sz w:val="18"/>
          <w:szCs w:val="18"/>
          <w:color w:val="auto"/>
        </w:rPr>
      </w:pPr>
    </w:p>
    <w:p>
      <w:pPr>
        <w:ind w:left="540" w:right="60" w:hanging="424"/>
        <w:spacing w:after="0" w:line="290"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191,578 deferred RSUs that are acquirable within 60 days, 22,520 shares issuable upon the exercise of stock options that are exercisable within 60 days and 398,344 aggregate shares of common stock that are subject to pledge arrangements as described above.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Section 16(a) of the Exchange Act requires our directors, executive officers, and the persons who beneficially own more than ten percent of the shares of our common stock, to file reports of ownership and changes in ownership with the Securities and Exchange Commission. Copies of all filed reports are required to be furnished to us. Based solely on the reports received by us and on the representations of the reporting persons, we believe that these persons have complied with all applicable filing requirements during the years ended December 31, 2019, except that a Form 4 for Mr. Kozicz reporting one transaction was filed late.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The Compensation Committee is responsible for reviewing director compensation and making relevant recommendations to the Board. Aon, the Compensation Committee’s independent consultant, annually prepares a competitive total compensation study against the same peers as used for our annual executive compensation study. The Compensation Committee considered the reports and recommendations by Aon, and concluded that modest changes were needed for 2019 to recognize our corporate revenue growth and stay competitively positioned within our industry. For 2019, the annual cash retainer was increased from $60,000 to $75,000, and the annual restricted stock unit grant was increased from $150,000 to $175,000. In addition, each committee member, except for the Board committee chairs, is entitled to the following annual cash retainer: Audit Committee: $15,000; Compensation Committee: $10,000; Nominating and Governance Committee: $7,500; Compliance Committee: $7,500. Each Board committee chair is entitled to the following annual retainer: Audit Committee Chair: $25,000; Compensation Committee Chair: $20,000; Nominating and Governance Committee Chair: $15,000. The Lead Independent Director is also entitled to a $25,000 annual cash retainer. The Compliance Committee Chair is a Board representative who is not entitled to compensation. We also reimburse our directors for reasonable expenses incurred in attending meetings. Our shareholders have determined that $950,000 is the maximum amount of compensation (including long-term incentive awards as well as any retainer fees) that may be paid to any single non-employee member of the Board in respect of any fiscal year.</w:t>
      </w: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The following table sets forth the compensation of our non-employee directors for compensation earned in 2019. Directors who are also our employees do not receive compensation (other than their compensation as our employees) for their services on the Board.</w:t>
      </w:r>
    </w:p>
    <w:p>
      <w:pPr>
        <w:spacing w:after="0" w:line="15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Director Compensation 2019</w:t>
            </w: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Fees</w:t>
            </w: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Stock</w:t>
            </w:r>
          </w:p>
        </w:tc>
        <w:tc>
          <w:tcPr>
            <w:tcW w:w="8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63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tcPr>
          <w:p>
            <w:pPr>
              <w:ind w:left="160"/>
              <w:spacing w:after="0" w:line="145" w:lineRule="exact"/>
              <w:rPr>
                <w:sz w:val="20"/>
                <w:szCs w:val="20"/>
                <w:color w:val="auto"/>
              </w:rPr>
            </w:pPr>
            <w:r>
              <w:rPr>
                <w:rFonts w:ascii="Arial" w:cs="Arial" w:eastAsia="Arial" w:hAnsi="Arial"/>
                <w:sz w:val="14"/>
                <w:szCs w:val="14"/>
                <w:b w:val="1"/>
                <w:bCs w:val="1"/>
                <w:color w:val="auto"/>
              </w:rPr>
              <w:t>awards</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98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earned($)</w:t>
            </w: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($)(1)(2)</w:t>
            </w:r>
          </w:p>
        </w:tc>
        <w:tc>
          <w:tcPr>
            <w:tcW w:w="240" w:type="dxa"/>
            <w:vAlign w:val="bottom"/>
          </w:tcPr>
          <w:p>
            <w:pPr>
              <w:spacing w:after="0"/>
              <w:rPr>
                <w:sz w:val="15"/>
                <w:szCs w:val="15"/>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Bonnie Biumi</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90,000</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w w:val="86"/>
              </w:rPr>
              <w:t>175,000</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265,000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Frank J. Fahrenkopf Jr.</w:t>
            </w:r>
          </w:p>
        </w:tc>
        <w:tc>
          <w:tcPr>
            <w:tcW w:w="780" w:type="dxa"/>
            <w:vAlign w:val="bottom"/>
          </w:tcPr>
          <w:p>
            <w:pPr>
              <w:jc w:val="right"/>
              <w:spacing w:after="0"/>
              <w:rPr>
                <w:sz w:val="20"/>
                <w:szCs w:val="20"/>
                <w:color w:val="auto"/>
              </w:rPr>
            </w:pPr>
            <w:r>
              <w:rPr>
                <w:rFonts w:ascii="Arial" w:cs="Arial" w:eastAsia="Arial" w:hAnsi="Arial"/>
                <w:sz w:val="18"/>
                <w:szCs w:val="18"/>
                <w:color w:val="auto"/>
              </w:rPr>
              <w:t>97,500</w:t>
            </w:r>
          </w:p>
        </w:tc>
        <w:tc>
          <w:tcPr>
            <w:tcW w:w="2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Arial" w:cs="Arial" w:eastAsia="Arial" w:hAnsi="Arial"/>
                <w:sz w:val="18"/>
                <w:szCs w:val="18"/>
                <w:color w:val="auto"/>
                <w:w w:val="86"/>
              </w:rPr>
              <w:t>175,000</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B. Hawkins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175,000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Gregory J. Kozicz</w:t>
            </w:r>
          </w:p>
        </w:tc>
        <w:tc>
          <w:tcPr>
            <w:tcW w:w="780" w:type="dxa"/>
            <w:vAlign w:val="bottom"/>
          </w:tcPr>
          <w:p>
            <w:pPr>
              <w:jc w:val="right"/>
              <w:spacing w:after="0"/>
              <w:rPr>
                <w:sz w:val="20"/>
                <w:szCs w:val="20"/>
                <w:color w:val="auto"/>
              </w:rPr>
            </w:pPr>
            <w:r>
              <w:rPr>
                <w:rFonts w:ascii="Arial" w:cs="Arial" w:eastAsia="Arial" w:hAnsi="Arial"/>
                <w:sz w:val="18"/>
                <w:szCs w:val="18"/>
                <w:color w:val="auto"/>
              </w:rPr>
              <w:t>85,000</w:t>
            </w:r>
          </w:p>
        </w:tc>
        <w:tc>
          <w:tcPr>
            <w:tcW w:w="2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Arial" w:cs="Arial" w:eastAsia="Arial" w:hAnsi="Arial"/>
                <w:sz w:val="18"/>
                <w:szCs w:val="18"/>
                <w:color w:val="auto"/>
                <w:w w:val="86"/>
              </w:rPr>
              <w:t>175,000</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E. Pegram</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175,000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David P. Tomick</w:t>
            </w:r>
          </w:p>
        </w:tc>
        <w:tc>
          <w:tcPr>
            <w:tcW w:w="780" w:type="dxa"/>
            <w:vAlign w:val="bottom"/>
          </w:tcPr>
          <w:p>
            <w:pPr>
              <w:jc w:val="right"/>
              <w:spacing w:after="0"/>
              <w:rPr>
                <w:sz w:val="20"/>
                <w:szCs w:val="20"/>
                <w:color w:val="auto"/>
              </w:rPr>
            </w:pPr>
            <w:r>
              <w:rPr>
                <w:rFonts w:ascii="Arial" w:cs="Arial" w:eastAsia="Arial" w:hAnsi="Arial"/>
                <w:sz w:val="18"/>
                <w:szCs w:val="18"/>
                <w:color w:val="auto"/>
              </w:rPr>
              <w:t>132,500</w:t>
            </w:r>
          </w:p>
        </w:tc>
        <w:tc>
          <w:tcPr>
            <w:tcW w:w="2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Arial" w:cs="Arial" w:eastAsia="Arial" w:hAnsi="Arial"/>
                <w:sz w:val="18"/>
                <w:szCs w:val="18"/>
                <w:color w:val="auto"/>
                <w:w w:val="86"/>
              </w:rPr>
              <w:t>175,000</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307,500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Roger P. Wagner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175,000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40" w:hanging="424"/>
        <w:spacing w:after="0" w:line="258"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shown represent the grant date fair value of stock awards calculated in accordance with ASC 718-Compensation-Stock Compensation (“ASC 718”). During 2019, 4,305 restricted stock units were issued to each non-employee director.</w:t>
      </w:r>
    </w:p>
    <w:p>
      <w:pPr>
        <w:spacing w:after="0" w:line="1" w:lineRule="exact"/>
        <w:rPr>
          <w:rFonts w:ascii="Arial" w:cs="Arial" w:eastAsia="Arial" w:hAnsi="Arial"/>
          <w:sz w:val="18"/>
          <w:szCs w:val="18"/>
          <w:color w:val="auto"/>
        </w:rPr>
      </w:pPr>
    </w:p>
    <w:p>
      <w:pPr>
        <w:ind w:left="540" w:right="200" w:hanging="424"/>
        <w:spacing w:after="0" w:line="323"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of December 31, 2019, each non-employee director, other than Ms. Biumi and Mr. Kozicz who each held 8,917 RSUs, held an aggregate of 43,137 RSUs, a portion of which have been deferred. See “Stock Ownership of Certain Beneficial Owners and Management”.</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Related Persons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Leased property</w:t>
      </w:r>
      <w:r>
        <w:rPr>
          <w:rFonts w:ascii="Arial" w:cs="Arial" w:eastAsia="Arial" w:hAnsi="Arial"/>
          <w:sz w:val="18"/>
          <w:szCs w:val="18"/>
          <w:color w:val="auto"/>
        </w:rPr>
        <w:t>. We own the entire parcel on which Eldorado Reno is located, except for approximately 30,000 square feet which is leased from</w:t>
      </w:r>
      <w:r>
        <w:rPr>
          <w:rFonts w:ascii="Arial" w:cs="Arial" w:eastAsia="Arial" w:hAnsi="Arial"/>
          <w:sz w:val="18"/>
          <w:szCs w:val="18"/>
          <w:i w:val="1"/>
          <w:iCs w:val="1"/>
          <w:color w:val="auto"/>
        </w:rPr>
        <w:t xml:space="preserve"> </w:t>
      </w:r>
      <w:r>
        <w:rPr>
          <w:rFonts w:ascii="Arial" w:cs="Arial" w:eastAsia="Arial" w:hAnsi="Arial"/>
          <w:sz w:val="18"/>
          <w:szCs w:val="18"/>
          <w:color w:val="auto"/>
        </w:rPr>
        <w:t>C. S. &amp; Y. Associates, which is an entity partially owned by REI, which is owned by members of the Carano family, including Gary L. Carano, and various trusts of which members of the Carano family are beneficiaries. In addition, each of Gary L. Carano and Thomas R. Reeg serve as members of the board of directors of REI. The lease expires on June 30, 2027. Rent pursuant to the lease amounted to $600,000 in 2019. As a result of the impact of COVID-19 on Eldorado Reno’s revenues due to the closure of the casino, an amendment was executed to defer rental payments for a portion of 2020, not to exceed three months, until 2021 and 2022.</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40"/>
          </w:cols>
          <w:pgMar w:left="320" w:top="459" w:right="5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Compensation Paid to Related Parties</w:t>
      </w:r>
      <w:r>
        <w:rPr>
          <w:rFonts w:ascii="Arial" w:cs="Arial" w:eastAsia="Arial" w:hAnsi="Arial"/>
          <w:sz w:val="16"/>
          <w:szCs w:val="16"/>
          <w:color w:val="auto"/>
        </w:rPr>
        <w:t>. For the period beginning January 1, 2019 to April 15, 2020, family members who are related to Gary 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Carano and Thomas R. Reeg, or are associated with REI, were paid compensation in connection with their positions as follows: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Cash &amp; Other</w:t>
            </w:r>
          </w:p>
        </w:tc>
        <w:tc>
          <w:tcPr>
            <w:tcW w:w="7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7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52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Relationship</w:t>
            </w:r>
          </w:p>
        </w:tc>
        <w:tc>
          <w:tcPr>
            <w:tcW w:w="120" w:type="dxa"/>
            <w:vAlign w:val="bottom"/>
          </w:tcPr>
          <w:p>
            <w:pPr>
              <w:spacing w:after="0"/>
              <w:rPr>
                <w:sz w:val="12"/>
                <w:szCs w:val="12"/>
                <w:color w:val="auto"/>
              </w:rPr>
            </w:pPr>
          </w:p>
        </w:tc>
        <w:tc>
          <w:tcPr>
            <w:tcW w:w="17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Position</w:t>
            </w:r>
          </w:p>
        </w:tc>
        <w:tc>
          <w:tcPr>
            <w:tcW w:w="120" w:type="dxa"/>
            <w:vAlign w:val="bottom"/>
          </w:tcPr>
          <w:p>
            <w:pPr>
              <w:spacing w:after="0"/>
              <w:rPr>
                <w:sz w:val="12"/>
                <w:szCs w:val="12"/>
                <w:color w:val="auto"/>
              </w:rPr>
            </w:pPr>
          </w:p>
        </w:tc>
        <w:tc>
          <w:tcPr>
            <w:tcW w:w="15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Entity</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160" w:type="dxa"/>
            <w:vAlign w:val="bottom"/>
          </w:tcPr>
          <w:p>
            <w:pPr>
              <w:spacing w:after="0"/>
              <w:rPr>
                <w:sz w:val="15"/>
                <w:szCs w:val="15"/>
                <w:color w:val="auto"/>
              </w:rPr>
            </w:pPr>
          </w:p>
        </w:tc>
        <w:tc>
          <w:tcPr>
            <w:tcW w:w="860" w:type="dxa"/>
            <w:vAlign w:val="bottom"/>
            <w:gridSpan w:val="2"/>
          </w:tcPr>
          <w:p>
            <w:pPr>
              <w:jc w:val="right"/>
              <w:ind w:right="160"/>
              <w:spacing w:after="0" w:line="158" w:lineRule="exact"/>
              <w:rPr>
                <w:sz w:val="20"/>
                <w:szCs w:val="20"/>
                <w:color w:val="auto"/>
              </w:rPr>
            </w:pPr>
            <w:r>
              <w:rPr>
                <w:rFonts w:ascii="Arial" w:cs="Arial" w:eastAsia="Arial" w:hAnsi="Arial"/>
                <w:sz w:val="14"/>
                <w:szCs w:val="14"/>
                <w:b w:val="1"/>
                <w:bCs w:val="1"/>
                <w:u w:val="single" w:color="auto"/>
                <w:color w:val="auto"/>
                <w:w w:val="94"/>
              </w:rPr>
              <w:t>RSUs($</w:t>
            </w:r>
            <w:r>
              <w:rPr>
                <w:rFonts w:ascii="Arial" w:cs="Arial" w:eastAsia="Arial" w:hAnsi="Arial"/>
                <w:sz w:val="14"/>
                <w:szCs w:val="14"/>
                <w:b w:val="1"/>
                <w:bCs w:val="1"/>
                <w:color w:val="auto"/>
                <w:w w:val="94"/>
              </w:rPr>
              <w:t>)(2)</w:t>
            </w:r>
          </w:p>
        </w:tc>
        <w:tc>
          <w:tcPr>
            <w:tcW w:w="860" w:type="dxa"/>
            <w:vAlign w:val="bottom"/>
            <w:gridSpan w:val="2"/>
          </w:tcPr>
          <w:p>
            <w:pPr>
              <w:jc w:val="right"/>
              <w:ind w:right="160"/>
              <w:spacing w:after="0" w:line="158" w:lineRule="exact"/>
              <w:rPr>
                <w:sz w:val="20"/>
                <w:szCs w:val="20"/>
                <w:color w:val="auto"/>
              </w:rPr>
            </w:pPr>
            <w:r>
              <w:rPr>
                <w:rFonts w:ascii="Arial" w:cs="Arial" w:eastAsia="Arial" w:hAnsi="Arial"/>
                <w:sz w:val="14"/>
                <w:szCs w:val="14"/>
                <w:b w:val="1"/>
                <w:bCs w:val="1"/>
                <w:u w:val="single" w:color="auto"/>
                <w:color w:val="auto"/>
                <w:w w:val="94"/>
              </w:rPr>
              <w:t>RSUs($</w:t>
            </w:r>
            <w:r>
              <w:rPr>
                <w:rFonts w:ascii="Arial" w:cs="Arial" w:eastAsia="Arial" w:hAnsi="Arial"/>
                <w:sz w:val="14"/>
                <w:szCs w:val="14"/>
                <w:b w:val="1"/>
                <w:bCs w:val="1"/>
                <w:color w:val="auto"/>
                <w:w w:val="94"/>
              </w:rPr>
              <w:t>)(3)</w:t>
            </w: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Cindy Carano</w:t>
            </w:r>
          </w:p>
        </w:tc>
        <w:tc>
          <w:tcPr>
            <w:tcW w:w="42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Sister of Gary L.</w:t>
            </w:r>
          </w:p>
        </w:tc>
        <w:tc>
          <w:tcPr>
            <w:tcW w:w="12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Executive Director of</w:t>
            </w:r>
          </w:p>
        </w:tc>
        <w:tc>
          <w:tcPr>
            <w:tcW w:w="12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Silver Legacy,</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Carano</w:t>
            </w:r>
          </w:p>
        </w:tc>
        <w:tc>
          <w:tcPr>
            <w:tcW w:w="1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Community Relations</w:t>
            </w:r>
          </w:p>
        </w:tc>
        <w:tc>
          <w:tcPr>
            <w:tcW w:w="16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7"/>
              </w:rPr>
              <w:t>Eldorado Reno and</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6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8"/>
              </w:rPr>
              <w:t>Circus Circus Reno</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159,878</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159,878</w:t>
            </w:r>
          </w:p>
        </w:tc>
        <w:tc>
          <w:tcPr>
            <w:tcW w:w="0" w:type="dxa"/>
            <w:vAlign w:val="bottom"/>
          </w:tcPr>
          <w:p>
            <w:pPr>
              <w:spacing w:after="0"/>
              <w:rPr>
                <w:sz w:val="1"/>
                <w:szCs w:val="1"/>
                <w:color w:val="auto"/>
              </w:rPr>
            </w:pPr>
          </w:p>
        </w:tc>
      </w:tr>
      <w:tr>
        <w:trPr>
          <w:trHeight w:val="269"/>
        </w:trPr>
        <w:tc>
          <w:tcPr>
            <w:tcW w:w="1880" w:type="dxa"/>
            <w:vAlign w:val="bottom"/>
            <w:gridSpan w:val="2"/>
          </w:tcPr>
          <w:p>
            <w:pPr>
              <w:spacing w:after="0"/>
              <w:rPr>
                <w:sz w:val="20"/>
                <w:szCs w:val="20"/>
                <w:color w:val="auto"/>
              </w:rPr>
            </w:pPr>
            <w:r>
              <w:rPr>
                <w:rFonts w:ascii="Arial" w:cs="Arial" w:eastAsia="Arial" w:hAnsi="Arial"/>
                <w:sz w:val="18"/>
                <w:szCs w:val="18"/>
                <w:color w:val="auto"/>
              </w:rPr>
              <w:t>Glenn Carano</w:t>
            </w:r>
          </w:p>
        </w:tc>
        <w:tc>
          <w:tcPr>
            <w:tcW w:w="1960" w:type="dxa"/>
            <w:vAlign w:val="bottom"/>
            <w:gridSpan w:val="2"/>
          </w:tcPr>
          <w:p>
            <w:pPr>
              <w:ind w:left="420"/>
              <w:spacing w:after="0"/>
              <w:rPr>
                <w:sz w:val="20"/>
                <w:szCs w:val="20"/>
                <w:color w:val="auto"/>
              </w:rPr>
            </w:pPr>
            <w:r>
              <w:rPr>
                <w:rFonts w:ascii="Arial" w:cs="Arial" w:eastAsia="Arial" w:hAnsi="Arial"/>
                <w:sz w:val="18"/>
                <w:szCs w:val="18"/>
                <w:color w:val="auto"/>
              </w:rPr>
              <w:t>Brother of Gary L.</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w w:val="89"/>
              </w:rPr>
              <w:t>Senior Vice President of</w:t>
            </w:r>
          </w:p>
        </w:tc>
        <w:tc>
          <w:tcPr>
            <w:tcW w:w="1660" w:type="dxa"/>
            <w:vAlign w:val="bottom"/>
            <w:gridSpan w:val="3"/>
          </w:tcPr>
          <w:p>
            <w:pPr>
              <w:ind w:left="120"/>
              <w:spacing w:after="0"/>
              <w:rPr>
                <w:sz w:val="20"/>
                <w:szCs w:val="20"/>
                <w:color w:val="auto"/>
              </w:rPr>
            </w:pPr>
            <w:r>
              <w:rPr>
                <w:rFonts w:ascii="Arial" w:cs="Arial" w:eastAsia="Arial" w:hAnsi="Arial"/>
                <w:sz w:val="18"/>
                <w:szCs w:val="18"/>
                <w:color w:val="auto"/>
              </w:rPr>
              <w:t>Eldorado Resorts,</w:t>
            </w: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960" w:type="dxa"/>
            <w:vAlign w:val="bottom"/>
            <w:gridSpan w:val="2"/>
          </w:tcPr>
          <w:p>
            <w:pPr>
              <w:ind w:left="420"/>
              <w:spacing w:after="0"/>
              <w:rPr>
                <w:sz w:val="20"/>
                <w:szCs w:val="20"/>
                <w:color w:val="auto"/>
              </w:rPr>
            </w:pPr>
            <w:r>
              <w:rPr>
                <w:rFonts w:ascii="Arial" w:cs="Arial" w:eastAsia="Arial" w:hAnsi="Arial"/>
                <w:sz w:val="18"/>
                <w:szCs w:val="18"/>
                <w:color w:val="auto"/>
              </w:rPr>
              <w:t>Carano</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Regional Operations</w:t>
            </w:r>
          </w:p>
        </w:tc>
        <w:tc>
          <w:tcPr>
            <w:tcW w:w="1660" w:type="dxa"/>
            <w:vAlign w:val="bottom"/>
            <w:gridSpan w:val="3"/>
          </w:tcPr>
          <w:p>
            <w:pPr>
              <w:ind w:left="120"/>
              <w:spacing w:after="0"/>
              <w:rPr>
                <w:sz w:val="20"/>
                <w:szCs w:val="20"/>
                <w:color w:val="auto"/>
              </w:rPr>
            </w:pPr>
            <w:r>
              <w:rPr>
                <w:rFonts w:ascii="Arial" w:cs="Arial" w:eastAsia="Arial" w:hAnsi="Arial"/>
                <w:sz w:val="18"/>
                <w:szCs w:val="18"/>
                <w:color w:val="auto"/>
              </w:rPr>
              <w:t>Inc.</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1,005,701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409,008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384,326</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1,799,035</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William Reeg</w:t>
            </w:r>
          </w:p>
        </w:tc>
        <w:tc>
          <w:tcPr>
            <w:tcW w:w="196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Brother of Thomas</w:t>
            </w:r>
          </w:p>
        </w:tc>
        <w:tc>
          <w:tcPr>
            <w:tcW w:w="186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89"/>
              </w:rPr>
              <w:t>Senior Vice President of</w:t>
            </w:r>
          </w:p>
        </w:tc>
        <w:tc>
          <w:tcPr>
            <w:tcW w:w="166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Eldorado Resorts,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 Reeg</w:t>
            </w:r>
          </w:p>
        </w:tc>
        <w:tc>
          <w:tcPr>
            <w:tcW w:w="1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Regional Operations</w:t>
            </w:r>
          </w:p>
        </w:tc>
        <w:tc>
          <w:tcPr>
            <w:tcW w:w="16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Inc.</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394,600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128,286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239,048</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761,934</w:t>
            </w:r>
          </w:p>
        </w:tc>
        <w:tc>
          <w:tcPr>
            <w:tcW w:w="0" w:type="dxa"/>
            <w:vAlign w:val="bottom"/>
          </w:tcPr>
          <w:p>
            <w:pPr>
              <w:spacing w:after="0"/>
              <w:rPr>
                <w:sz w:val="1"/>
                <w:szCs w:val="1"/>
                <w:color w:val="auto"/>
              </w:rPr>
            </w:pPr>
          </w:p>
        </w:tc>
      </w:tr>
      <w:tr>
        <w:trPr>
          <w:trHeight w:val="269"/>
        </w:trPr>
        <w:tc>
          <w:tcPr>
            <w:tcW w:w="1880" w:type="dxa"/>
            <w:vAlign w:val="bottom"/>
            <w:gridSpan w:val="2"/>
          </w:tcPr>
          <w:p>
            <w:pPr>
              <w:spacing w:after="0"/>
              <w:rPr>
                <w:sz w:val="20"/>
                <w:szCs w:val="20"/>
                <w:color w:val="auto"/>
              </w:rPr>
            </w:pPr>
            <w:r>
              <w:rPr>
                <w:rFonts w:ascii="Arial" w:cs="Arial" w:eastAsia="Arial" w:hAnsi="Arial"/>
                <w:sz w:val="18"/>
                <w:szCs w:val="18"/>
                <w:color w:val="auto"/>
              </w:rPr>
              <w:t>Shawn Clancy</w:t>
            </w:r>
          </w:p>
        </w:tc>
        <w:tc>
          <w:tcPr>
            <w:tcW w:w="1960" w:type="dxa"/>
            <w:vAlign w:val="bottom"/>
            <w:gridSpan w:val="2"/>
          </w:tcPr>
          <w:p>
            <w:pPr>
              <w:ind w:left="420"/>
              <w:spacing w:after="0"/>
              <w:rPr>
                <w:sz w:val="20"/>
                <w:szCs w:val="20"/>
                <w:color w:val="auto"/>
              </w:rPr>
            </w:pPr>
            <w:r>
              <w:rPr>
                <w:rFonts w:ascii="Arial" w:cs="Arial" w:eastAsia="Arial" w:hAnsi="Arial"/>
                <w:sz w:val="18"/>
                <w:szCs w:val="18"/>
                <w:color w:val="auto"/>
              </w:rPr>
              <w:t>Brother-in-law of</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Chief Development</w:t>
            </w:r>
          </w:p>
        </w:tc>
        <w:tc>
          <w:tcPr>
            <w:tcW w:w="1660" w:type="dxa"/>
            <w:vAlign w:val="bottom"/>
            <w:gridSpan w:val="3"/>
          </w:tcPr>
          <w:p>
            <w:pPr>
              <w:ind w:left="120"/>
              <w:spacing w:after="0"/>
              <w:rPr>
                <w:sz w:val="20"/>
                <w:szCs w:val="20"/>
                <w:color w:val="auto"/>
              </w:rPr>
            </w:pPr>
            <w:r>
              <w:rPr>
                <w:rFonts w:ascii="Arial" w:cs="Arial" w:eastAsia="Arial" w:hAnsi="Arial"/>
                <w:sz w:val="18"/>
                <w:szCs w:val="18"/>
                <w:color w:val="auto"/>
              </w:rPr>
              <w:t>Eldorado Resorts,</w:t>
            </w: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960" w:type="dxa"/>
            <w:vAlign w:val="bottom"/>
            <w:gridSpan w:val="2"/>
          </w:tcPr>
          <w:p>
            <w:pPr>
              <w:ind w:left="420"/>
              <w:spacing w:after="0"/>
              <w:rPr>
                <w:sz w:val="20"/>
                <w:szCs w:val="20"/>
                <w:color w:val="auto"/>
              </w:rPr>
            </w:pPr>
            <w:r>
              <w:rPr>
                <w:rFonts w:ascii="Arial" w:cs="Arial" w:eastAsia="Arial" w:hAnsi="Arial"/>
                <w:sz w:val="18"/>
                <w:szCs w:val="18"/>
                <w:color w:val="auto"/>
              </w:rPr>
              <w:t>Thomas R. Reeg</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Officer</w:t>
            </w:r>
          </w:p>
        </w:tc>
        <w:tc>
          <w:tcPr>
            <w:tcW w:w="1660" w:type="dxa"/>
            <w:vAlign w:val="bottom"/>
            <w:gridSpan w:val="3"/>
          </w:tcPr>
          <w:p>
            <w:pPr>
              <w:ind w:left="120"/>
              <w:spacing w:after="0"/>
              <w:rPr>
                <w:sz w:val="20"/>
                <w:szCs w:val="20"/>
                <w:color w:val="auto"/>
              </w:rPr>
            </w:pPr>
            <w:r>
              <w:rPr>
                <w:rFonts w:ascii="Arial" w:cs="Arial" w:eastAsia="Arial" w:hAnsi="Arial"/>
                <w:sz w:val="18"/>
                <w:szCs w:val="18"/>
                <w:color w:val="auto"/>
              </w:rPr>
              <w:t>Inc.</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365,061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153,003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141,014</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659,078</w:t>
            </w:r>
          </w:p>
        </w:tc>
        <w:tc>
          <w:tcPr>
            <w:tcW w:w="0" w:type="dxa"/>
            <w:vAlign w:val="bottom"/>
          </w:tcPr>
          <w:p>
            <w:pPr>
              <w:spacing w:after="0"/>
              <w:rPr>
                <w:sz w:val="1"/>
                <w:szCs w:val="1"/>
                <w:color w:val="auto"/>
              </w:rPr>
            </w:pPr>
          </w:p>
        </w:tc>
      </w:tr>
      <w:tr>
        <w:trPr>
          <w:trHeight w:val="67"/>
        </w:trPr>
        <w:tc>
          <w:tcPr>
            <w:tcW w:w="3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Nina Carano</w:t>
            </w:r>
          </w:p>
        </w:tc>
        <w:tc>
          <w:tcPr>
            <w:tcW w:w="196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w w:val="96"/>
              </w:rPr>
              <w:t>Daughter of Gary L.</w:t>
            </w:r>
          </w:p>
        </w:tc>
        <w:tc>
          <w:tcPr>
            <w:tcW w:w="186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Director of Corporate</w:t>
            </w:r>
          </w:p>
        </w:tc>
        <w:tc>
          <w:tcPr>
            <w:tcW w:w="166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Eldorado Resorts,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Carano</w:t>
            </w:r>
          </w:p>
        </w:tc>
        <w:tc>
          <w:tcPr>
            <w:tcW w:w="1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Advertising</w:t>
            </w:r>
          </w:p>
        </w:tc>
        <w:tc>
          <w:tcPr>
            <w:tcW w:w="16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Inc.</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191,184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77,339</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268,523</w:t>
            </w:r>
          </w:p>
        </w:tc>
        <w:tc>
          <w:tcPr>
            <w:tcW w:w="0" w:type="dxa"/>
            <w:vAlign w:val="bottom"/>
          </w:tcPr>
          <w:p>
            <w:pPr>
              <w:spacing w:after="0"/>
              <w:rPr>
                <w:sz w:val="1"/>
                <w:szCs w:val="1"/>
                <w:color w:val="auto"/>
              </w:rPr>
            </w:pPr>
          </w:p>
        </w:tc>
      </w:tr>
      <w:tr>
        <w:trPr>
          <w:trHeight w:val="269"/>
        </w:trPr>
        <w:tc>
          <w:tcPr>
            <w:tcW w:w="1880" w:type="dxa"/>
            <w:vAlign w:val="bottom"/>
            <w:gridSpan w:val="2"/>
          </w:tcPr>
          <w:p>
            <w:pPr>
              <w:spacing w:after="0"/>
              <w:rPr>
                <w:sz w:val="20"/>
                <w:szCs w:val="20"/>
                <w:color w:val="auto"/>
              </w:rPr>
            </w:pPr>
            <w:r>
              <w:rPr>
                <w:rFonts w:ascii="Arial" w:cs="Arial" w:eastAsia="Arial" w:hAnsi="Arial"/>
                <w:sz w:val="18"/>
                <w:szCs w:val="18"/>
                <w:color w:val="auto"/>
              </w:rPr>
              <w:t>Katie Carano Miller</w:t>
            </w:r>
          </w:p>
        </w:tc>
        <w:tc>
          <w:tcPr>
            <w:tcW w:w="1960" w:type="dxa"/>
            <w:vAlign w:val="bottom"/>
            <w:gridSpan w:val="2"/>
          </w:tcPr>
          <w:p>
            <w:pPr>
              <w:ind w:left="420"/>
              <w:spacing w:after="0"/>
              <w:rPr>
                <w:sz w:val="20"/>
                <w:szCs w:val="20"/>
                <w:color w:val="auto"/>
              </w:rPr>
            </w:pPr>
            <w:r>
              <w:rPr>
                <w:rFonts w:ascii="Arial" w:cs="Arial" w:eastAsia="Arial" w:hAnsi="Arial"/>
                <w:sz w:val="18"/>
                <w:szCs w:val="18"/>
                <w:color w:val="auto"/>
                <w:w w:val="96"/>
              </w:rPr>
              <w:t>Daughter of Gary L.</w:t>
            </w:r>
          </w:p>
        </w:tc>
        <w:tc>
          <w:tcPr>
            <w:tcW w:w="1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660" w:type="dxa"/>
            <w:vAlign w:val="bottom"/>
            <w:gridSpan w:val="3"/>
          </w:tcPr>
          <w:p>
            <w:pPr>
              <w:ind w:left="120"/>
              <w:spacing w:after="0"/>
              <w:rPr>
                <w:sz w:val="20"/>
                <w:szCs w:val="20"/>
                <w:color w:val="auto"/>
              </w:rPr>
            </w:pPr>
            <w:r>
              <w:rPr>
                <w:rFonts w:ascii="Arial" w:cs="Arial" w:eastAsia="Arial" w:hAnsi="Arial"/>
                <w:sz w:val="18"/>
                <w:szCs w:val="18"/>
                <w:color w:val="auto"/>
              </w:rPr>
              <w:t>Eldorado Resorts,</w:t>
            </w: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960" w:type="dxa"/>
            <w:vAlign w:val="bottom"/>
            <w:gridSpan w:val="2"/>
          </w:tcPr>
          <w:p>
            <w:pPr>
              <w:ind w:left="420"/>
              <w:spacing w:after="0"/>
              <w:rPr>
                <w:sz w:val="20"/>
                <w:szCs w:val="20"/>
                <w:color w:val="auto"/>
              </w:rPr>
            </w:pPr>
            <w:r>
              <w:rPr>
                <w:rFonts w:ascii="Arial" w:cs="Arial" w:eastAsia="Arial" w:hAnsi="Arial"/>
                <w:sz w:val="18"/>
                <w:szCs w:val="18"/>
                <w:color w:val="auto"/>
              </w:rPr>
              <w:t>Carano</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Consultant</w:t>
            </w:r>
          </w:p>
        </w:tc>
        <w:tc>
          <w:tcPr>
            <w:tcW w:w="1660" w:type="dxa"/>
            <w:vAlign w:val="bottom"/>
            <w:gridSpan w:val="3"/>
          </w:tcPr>
          <w:p>
            <w:pPr>
              <w:ind w:left="120"/>
              <w:spacing w:after="0"/>
              <w:rPr>
                <w:sz w:val="20"/>
                <w:szCs w:val="20"/>
                <w:color w:val="auto"/>
              </w:rPr>
            </w:pPr>
            <w:r>
              <w:rPr>
                <w:rFonts w:ascii="Arial" w:cs="Arial" w:eastAsia="Arial" w:hAnsi="Arial"/>
                <w:sz w:val="18"/>
                <w:szCs w:val="18"/>
                <w:color w:val="auto"/>
              </w:rPr>
              <w:t>Inc.</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120,000</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base salary, bonus amounts paid in respect of 2019, 401(k) matching contributions, and certain perquisites.</w:t>
      </w:r>
    </w:p>
    <w:p>
      <w:pPr>
        <w:spacing w:after="0" w:line="23" w:lineRule="exact"/>
        <w:rPr>
          <w:rFonts w:ascii="Arial" w:cs="Arial" w:eastAsia="Arial" w:hAnsi="Arial"/>
          <w:sz w:val="18"/>
          <w:szCs w:val="18"/>
          <w:color w:val="auto"/>
        </w:rPr>
      </w:pPr>
    </w:p>
    <w:p>
      <w:pPr>
        <w:ind w:left="540" w:right="400" w:hanging="424"/>
        <w:spacing w:after="0" w:line="250"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aggregate grant date fair value of performance and time-based RSUs granted January 25, 2019 at $44.39 per share at 100% target. Ms. Nina Carano’s time-based RSUs were granted April 1, 2019 at $48.58 per share. Mr. Clancy’s performance and time-based RSUs were granted April 8, 2019 at $48.19 per share at 100% target.</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aggregate grant date fair value of performance and time-based RSUs granted January 24, 2020 at $59.20 per share at 100% target.</w:t>
      </w:r>
    </w:p>
    <w:p>
      <w:pPr>
        <w:spacing w:after="0" w:line="23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On January 1, 2020, Mr. Gene Carano, brother of Gary L. Carano, rejoined the Company as Vice President of Operations and has an annual base salary of $150,000. Mr. Gene Carano was previously Senior Vice President of Regional Operations of Eldorado Resorts, Inc. until his retirement on July 1, 2018.</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Approval of Related Party Transactions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Code of Ethics and Business Conduct (the “Code”) requires that any proposed transaction between us and a related party, or in which a related party would have a direct or indirect material interest, be promptly disclosed to our Compliance Committee. The Compliance Committee is required to disclose such proposed transactions promptly to our Audit Committee.</w:t>
      </w:r>
    </w:p>
    <w:p>
      <w:pPr>
        <w:spacing w:after="0" w:line="18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Our Audit Committee Charter requires our Audit Committee to review and approve all of our related party transactions. Any director having an interest in the transaction is not permitted to vote on such transaction. The Audit Committee will determine whether or not to approve any such transaction on a case-by-case basis and in accordance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the provisions of the Audit Committee Charter and the Code, including the standards set forth in the Conflicts of Interest Policy contained in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Code. Under the Code, a “related party” is any of the following:</w:t>
      </w:r>
    </w:p>
    <w:p>
      <w:pPr>
        <w:spacing w:after="0" w:line="11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director (or director nominee);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immediate family member of any executive officer or director (or director nominee);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beneficial owner of five percent or more of any class of our voting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entity in which one of the above described persons has a substantial ownership interest or control of such entity; or</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person or entity that would be deemed to be a related person under Item 404 of SEC Regulation S-K or applicable NASDAQ rules and regulations.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Board determines director independence based on an analysis of the independence requirements of the NASDAQ listing standards. In addition, the Board will consider all relevant facts and circumstances in making an independence determination. The Board also considers all commercial, industrial, banking, consulting, legal, accounting, charitable, familial or other business relationships any director may have with us. The Board has determined that the following seven directors satisfy the independence requirements of NASDAQ: Bonnie Biumi, Frank J. Fahrenkopf, James B. Hawkins, Gregory J. Kozicz, Michael E. Pegram, David P. Tomick and Roger P. Wagner.</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2019 BUSINESS OVERVIEW</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June 2019, we entered into an agreement to consummate a transformative strategic combination with Caesars Entertainment Corporation. We are excited about the prospect of creating value for stakeholders of both companies through this combination and look forward to having the opportunity to strengthen the business of both enterprises going forward. We also entered into a master transaction with VICI Properties, L.P. pursuant to which we agreed to consummate one or more sale and leaseback transactions with VICI. We also successfully completed the divestitures of five properties during 2019 and entered into definitive agreements to sell two additional properties.</w:t>
      </w:r>
    </w:p>
    <w:p>
      <w:pPr>
        <w:spacing w:after="0" w:line="176"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In 2019, we increased net revenues by 23.0% and operating income by 32.2% over the prior year (including incremental net revenues from our acquisitions of Elgin Riverboat Resort – Riverboat Casino d/b/a Grand Victoria Casino (“Elgin”) and Tropicana Entertainment, Inc. (“Tropicana”), which were acquired in the second half of 2018 and added eight properties to our portfolio). However, excluding the impact of our acquisitions and divestitures, net revenues decreased 5.1% mainly due to (i) severe weather in all segments in the first half of 2019, (ii) hurricane and tropical storm activity in the third quarter of 2019 in our South segment and (iii) the disruption to our casino floor and hotel availability associated with a renovation project at our Black Hawk property during the construction period from January to June 2019. Excluding the impact of our acquisitions and the divestitures, operating income decreased 15.0% due to higher depreciation expense associated with asset additions and transaction costs associated with the acquisitions of Tropicana and Caesars.</w:t>
      </w:r>
    </w:p>
    <w:p>
      <w:pPr>
        <w:spacing w:after="0" w:line="192"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For the year ended December 31, 2019 compared to 2018, net income decreased 14.9% principally due to the same factors impacting operating income combined with higher interest expense for the year ended December 31, 2019 compared to 2018 resulting from increased debt associated with the Tropicana Acquisition and amortization of the direct financing obligation associated with the Master Lease. Additionally, we recorded a $7.5 million loss on the early retirement of debt in 2019 related to the pro-rated write off of deferred financing costs associated with permanent payments on our Term Loan, and a higher income tax provision due to an increase in our effective tax rate also contributed to the declines in net income. Net income was favorably impacted by an $8.8 million unrealized gain on restricted investments for the year ended December 31, 2019.</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Discussion &amp; Analysis</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this Compensation Discussion and Analysis (“CD&amp;A”) we describe the material components of our executive pay programs for our named executive officers for 2019 (sometimes referred to herein as our “NEOs”).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2019, our NEOs and the titles they held as of the last day of 2019 are as follows:</w:t>
      </w:r>
    </w:p>
    <w:p>
      <w:pPr>
        <w:spacing w:after="0" w:line="131"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Gary L. Carano, </w:t>
      </w:r>
      <w:r>
        <w:rPr>
          <w:rFonts w:ascii="Arial" w:cs="Arial" w:eastAsia="Arial" w:hAnsi="Arial"/>
          <w:sz w:val="18"/>
          <w:szCs w:val="18"/>
          <w:b w:val="1"/>
          <w:bCs w:val="1"/>
          <w:i w:val="1"/>
          <w:iCs w:val="1"/>
          <w:color w:val="auto"/>
        </w:rPr>
        <w:t>Executive Chairman of the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Thomas R. Reeg, </w:t>
      </w:r>
      <w:r>
        <w:rPr>
          <w:rFonts w:ascii="Arial" w:cs="Arial" w:eastAsia="Arial" w:hAnsi="Arial"/>
          <w:sz w:val="18"/>
          <w:szCs w:val="18"/>
          <w:b w:val="1"/>
          <w:bCs w:val="1"/>
          <w:i w:val="1"/>
          <w:iCs w:val="1"/>
          <w:color w:val="auto"/>
        </w:rPr>
        <w:t>Chief Executive Officer and member of the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Bret Yunker, </w:t>
      </w:r>
      <w:r>
        <w:rPr>
          <w:rFonts w:ascii="Arial" w:cs="Arial" w:eastAsia="Arial" w:hAnsi="Arial"/>
          <w:sz w:val="18"/>
          <w:szCs w:val="18"/>
          <w:b w:val="1"/>
          <w:bCs w:val="1"/>
          <w:i w:val="1"/>
          <w:iCs w:val="1"/>
          <w:color w:val="auto"/>
        </w:rPr>
        <w:t>Chief Financial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Anthony L. Carano, </w:t>
      </w:r>
      <w:r>
        <w:rPr>
          <w:rFonts w:ascii="Arial" w:cs="Arial" w:eastAsia="Arial" w:hAnsi="Arial"/>
          <w:sz w:val="18"/>
          <w:szCs w:val="18"/>
          <w:b w:val="1"/>
          <w:bCs w:val="1"/>
          <w:i w:val="1"/>
          <w:iCs w:val="1"/>
          <w:color w:val="auto"/>
        </w:rPr>
        <w:t>President and Chief Operating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Edmund L. Quatmann, Jr., </w:t>
      </w:r>
      <w:r>
        <w:rPr>
          <w:rFonts w:ascii="Arial" w:cs="Arial" w:eastAsia="Arial" w:hAnsi="Arial"/>
          <w:sz w:val="18"/>
          <w:szCs w:val="18"/>
          <w:b w:val="1"/>
          <w:bCs w:val="1"/>
          <w:i w:val="1"/>
          <w:iCs w:val="1"/>
          <w:color w:val="auto"/>
        </w:rPr>
        <w:t>Executive Vice President and Chief Legal Officer</w:t>
      </w:r>
    </w:p>
    <w:p>
      <w:pPr>
        <w:spacing w:after="0" w:line="225"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Effective January 1, 2019, Mr. Gary L. Carano became Executive Chairman of the Board of Directors, Mr. Reeg became Chief Executive Officer and Mr. Anthony L. Carano became President and Chief Operating Officer. On February 1, 2019, we entered into an employment agreement with Bret Yunker to serve as our Chief Financial Officer. Mr. Yunker’s employment with us began on May 2, 2019.</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CD&amp;A provides an overview and explanation of:</w:t>
      </w:r>
    </w:p>
    <w:p>
      <w:pPr>
        <w:spacing w:after="0" w:line="131"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compensation programs and policies for certain of our named executive officers identified below;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compensation decisions made by the Compensation Committee under those programs and policies;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material factors that the Compensation Committee considered in making those decisions.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about our Executive Officers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following table identifies each of our executive officers (other than those executive officers who are also members of our Board identified above) as of May 19, 2020:</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90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6"/>
                <w:szCs w:val="16"/>
                <w:color w:val="auto"/>
              </w:rPr>
            </w:pPr>
          </w:p>
        </w:tc>
        <w:tc>
          <w:tcPr>
            <w:tcW w:w="3980" w:type="dxa"/>
            <w:vAlign w:val="bottom"/>
          </w:tcPr>
          <w:p>
            <w:pPr>
              <w:ind w:left="1240"/>
              <w:spacing w:after="0"/>
              <w:rPr>
                <w:sz w:val="20"/>
                <w:szCs w:val="20"/>
                <w:color w:val="auto"/>
              </w:rPr>
            </w:pPr>
            <w:r>
              <w:rPr>
                <w:rFonts w:ascii="Arial" w:cs="Arial" w:eastAsia="Arial" w:hAnsi="Arial"/>
                <w:sz w:val="14"/>
                <w:szCs w:val="14"/>
                <w:b w:val="1"/>
                <w:bCs w:val="1"/>
                <w:color w:val="auto"/>
              </w:rPr>
              <w:t>Position and Office Held</w:t>
            </w:r>
          </w:p>
        </w:tc>
      </w:tr>
      <w:tr>
        <w:trPr>
          <w:trHeight w:val="203"/>
        </w:trPr>
        <w:tc>
          <w:tcPr>
            <w:tcW w:w="3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Anthony Carano</w:t>
            </w:r>
          </w:p>
        </w:tc>
        <w:tc>
          <w:tcPr>
            <w:tcW w:w="1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w:t>
            </w:r>
          </w:p>
        </w:tc>
        <w:tc>
          <w:tcPr>
            <w:tcW w:w="340" w:type="dxa"/>
            <w:vAlign w:val="bottom"/>
            <w:tcBorders>
              <w:top w:val="single" w:sz="8" w:color="CCEEFF"/>
            </w:tcBorders>
            <w:shd w:val="clear" w:color="auto" w:fill="CCEEFF"/>
          </w:tcPr>
          <w:p>
            <w:pPr>
              <w:spacing w:after="0"/>
              <w:rPr>
                <w:sz w:val="17"/>
                <w:szCs w:val="17"/>
                <w:color w:val="auto"/>
              </w:rPr>
            </w:pPr>
          </w:p>
        </w:tc>
        <w:tc>
          <w:tcPr>
            <w:tcW w:w="39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President and Chief Operating Officer</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Bret Yunker</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Chief Financial Officer</w:t>
            </w:r>
          </w:p>
        </w:tc>
      </w:tr>
      <w:tr>
        <w:trPr>
          <w:trHeight w:val="202"/>
        </w:trPr>
        <w:tc>
          <w:tcPr>
            <w:tcW w:w="3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Edmund L. Quatmann, Jr.</w:t>
            </w:r>
          </w:p>
        </w:tc>
        <w:tc>
          <w:tcPr>
            <w:tcW w:w="16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50</w:t>
            </w:r>
          </w:p>
        </w:tc>
        <w:tc>
          <w:tcPr>
            <w:tcW w:w="432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Executive Vice President, Chief Legal Officer and</w:t>
            </w:r>
          </w:p>
        </w:tc>
      </w:tr>
      <w:tr>
        <w:trPr>
          <w:trHeight w:val="230"/>
        </w:trPr>
        <w:tc>
          <w:tcPr>
            <w:tcW w:w="38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Secretary</w:t>
            </w:r>
          </w:p>
        </w:tc>
      </w:tr>
    </w:tbl>
    <w:p>
      <w:pPr>
        <w:spacing w:after="0" w:line="20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following briefly describes the business experience and educational background of each of our executive officers (other than those executive officers who are also members of our Board identified above) as of May 19, 2020:</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Anthony L. Carano</w:t>
      </w:r>
      <w:r>
        <w:rPr>
          <w:rFonts w:ascii="Arial" w:cs="Arial" w:eastAsia="Arial" w:hAnsi="Arial"/>
          <w:sz w:val="18"/>
          <w:szCs w:val="18"/>
          <w:color w:val="auto"/>
        </w:rPr>
        <w:t>, 38, became our Executive Vice President, General Counsel and Secretary in September 2014, Executive Vice President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in August 2016, Executive Vice President and Chief Operating Officer in May 2017 and President and Chief Operating Officer in January 2019. Prior to joining us, Mr. Anthony L. Carano was an attorney at the Nevada law firm of McDonald Carano Wilson, LLP, where his practice was devoted primarily to transactional, gaming and regulatory law. Mr. Anthony L. Carano holds a B.A. from the University of Nevada, his J.D. from the University of San Francisco, School of Law and his M.B.A. in Finance from the University of San Francisco, School of Business. Anthony L. Carano is Gary L. Carano’s son.</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320" w:top="459"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firstLine="440"/>
        <w:spacing w:after="0" w:line="286" w:lineRule="auto"/>
        <w:rPr>
          <w:sz w:val="20"/>
          <w:szCs w:val="20"/>
          <w:color w:val="auto"/>
        </w:rPr>
      </w:pPr>
      <w:r>
        <w:rPr>
          <w:rFonts w:ascii="Arial" w:cs="Arial" w:eastAsia="Arial" w:hAnsi="Arial"/>
          <w:sz w:val="17"/>
          <w:szCs w:val="17"/>
          <w:b w:val="1"/>
          <w:bCs w:val="1"/>
          <w:i w:val="1"/>
          <w:iCs w:val="1"/>
          <w:color w:val="auto"/>
        </w:rPr>
        <w:t>Edmund L. Quatmann, Jr.</w:t>
      </w:r>
      <w:r>
        <w:rPr>
          <w:rFonts w:ascii="Arial" w:cs="Arial" w:eastAsia="Arial" w:hAnsi="Arial"/>
          <w:sz w:val="17"/>
          <w:szCs w:val="17"/>
          <w:color w:val="auto"/>
        </w:rPr>
        <w:t>, 50, became our Executive Vice President, Chief Legal Officer and Secretary in May 2017. Prior to joining us,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Quatmann served as the Chief Legal Officer and Secretary for Isle of Capri Casinos, Inc. from July 2008 until our merger with Isle of Capri in May 2017. Mr. Quatmann holds a B.S. from Purdue University and a J.D. from St. Louis University School of Law.</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Bret Yunker</w:t>
      </w:r>
      <w:r>
        <w:rPr>
          <w:rFonts w:ascii="Arial" w:cs="Arial" w:eastAsia="Arial" w:hAnsi="Arial"/>
          <w:sz w:val="18"/>
          <w:szCs w:val="18"/>
          <w:color w:val="auto"/>
        </w:rPr>
        <w:t>, 43, became our Chief Financial Officer in May 2019. Prior to joining us, Mr. Yunker served as a managing director of JP Morgan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Chase &amp; Co. in its Real Estate Investment Banking Group since 2013, providing advisory and capital markets execution (both debt and equity) services to clients across several sectors in the gaming industry, including casino operators, gaming equipment and system suppliers, REITs, lottery service providers and online gaming companies. Prior to joining JP Morgan Chase &amp; Co., Mr. Yunker was employed for fourteen years in various positions at Bank of America Merrill Lynch covering gaming and leisure companies. Mr. Yunker holds a B.S. in business administration from the University of Southern California.</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of 2019 Advisory Vote on Executive Compensation (“Say-on-Pay”)</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Compensation Committee and our Board considered the results of the advisory, non-binding stockholder vote to approve executive compensation presented at our 2019 Annual Meeting, where over 99% of votes cast approved the compensation program described in our proxy statement for the 2019 Annual Meeting. We currently hold such say-on-pay votes on an annual basis. The Compensation Committee takes seriously its role in the governance of our compensation programs and values thoughtful input from our stockholders, and may consider the result of future say-on-pay votes in connection with making future compensation-related decisions to the extent it deems it appropriate to do so. Any changes made to our executive compensation programs for 2019 were based on the Compensation Committee’s ongoing review and assessment of such programs and were not made solely as a result of the 2019 say-on-pay vote.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320" w:top="459" w:right="5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Features of Our Executive Compensation Program</w:t>
      </w:r>
    </w:p>
    <w:p>
      <w:pPr>
        <w:spacing w:after="0" w:line="244" w:lineRule="exact"/>
        <w:rPr>
          <w:sz w:val="20"/>
          <w:szCs w:val="20"/>
          <w:color w:val="auto"/>
        </w:rPr>
      </w:pPr>
    </w:p>
    <w:p>
      <w:pPr>
        <w:jc w:val="center"/>
        <w:ind w:left="140"/>
        <w:spacing w:after="0"/>
        <w:rPr>
          <w:sz w:val="20"/>
          <w:szCs w:val="20"/>
          <w:color w:val="auto"/>
        </w:rPr>
      </w:pPr>
      <w:r>
        <w:rPr>
          <w:rFonts w:ascii="Arial" w:cs="Arial" w:eastAsia="Arial" w:hAnsi="Arial"/>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5" w:lineRule="exact"/>
        <w:rPr>
          <w:sz w:val="20"/>
          <w:szCs w:val="20"/>
          <w:color w:val="auto"/>
        </w:rPr>
      </w:pPr>
    </w:p>
    <w:p>
      <w:pPr>
        <w:ind w:left="680" w:hanging="424"/>
        <w:spacing w:after="0"/>
        <w:tabs>
          <w:tab w:leader="none" w:pos="68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Maintain stock ownership guidelines for NEOs and directors</w:t>
      </w:r>
    </w:p>
    <w:p>
      <w:pPr>
        <w:spacing w:after="0" w:line="330" w:lineRule="exact"/>
        <w:rPr>
          <w:rFonts w:ascii="MS PGothic" w:cs="MS PGothic" w:eastAsia="MS PGothic" w:hAnsi="MS PGothic"/>
          <w:sz w:val="18"/>
          <w:szCs w:val="18"/>
          <w:color w:val="auto"/>
        </w:rPr>
      </w:pPr>
    </w:p>
    <w:p>
      <w:pPr>
        <w:ind w:left="680" w:right="280" w:hanging="424"/>
        <w:spacing w:after="0" w:line="277" w:lineRule="auto"/>
        <w:tabs>
          <w:tab w:leader="none" w:pos="68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Set maximum payout limit on our annual incentive plan and long-term incentive plan awards</w:t>
      </w:r>
    </w:p>
    <w:p>
      <w:pPr>
        <w:spacing w:after="0" w:line="62" w:lineRule="exact"/>
        <w:rPr>
          <w:rFonts w:ascii="MS PGothic" w:cs="MS PGothic" w:eastAsia="MS PGothic" w:hAnsi="MS PGothic"/>
          <w:sz w:val="18"/>
          <w:szCs w:val="18"/>
          <w:color w:val="auto"/>
        </w:rPr>
      </w:pPr>
    </w:p>
    <w:p>
      <w:pPr>
        <w:ind w:left="680" w:right="200" w:hanging="424"/>
        <w:spacing w:after="0" w:line="301" w:lineRule="auto"/>
        <w:tabs>
          <w:tab w:leader="none" w:pos="680" w:val="left"/>
        </w:tabs>
        <w:numPr>
          <w:ilvl w:val="0"/>
          <w:numId w:val="22"/>
        </w:numPr>
        <w:rPr>
          <w:rFonts w:ascii="MS PGothic" w:cs="MS PGothic" w:eastAsia="MS PGothic" w:hAnsi="MS PGothic"/>
          <w:sz w:val="16"/>
          <w:szCs w:val="16"/>
          <w:color w:val="auto"/>
        </w:rPr>
      </w:pPr>
      <w:r>
        <w:rPr>
          <w:rFonts w:ascii="Arial" w:cs="Arial" w:eastAsia="Arial" w:hAnsi="Arial"/>
          <w:sz w:val="16"/>
          <w:szCs w:val="16"/>
          <w:color w:val="auto"/>
        </w:rPr>
        <w:t>For 2019, emphasize pay for performance, with 82% of our Chief Executive Officer’s total pay opportunity being performance-based “at risk” compensation and an average of 74% being performance-based “at risk” compensation for our other NEOs</w:t>
      </w:r>
    </w:p>
    <w:p>
      <w:pPr>
        <w:spacing w:after="0" w:line="49" w:lineRule="exact"/>
        <w:rPr>
          <w:rFonts w:ascii="MS PGothic" w:cs="MS PGothic" w:eastAsia="MS PGothic" w:hAnsi="MS PGothic"/>
          <w:sz w:val="16"/>
          <w:szCs w:val="16"/>
          <w:color w:val="auto"/>
        </w:rPr>
      </w:pPr>
    </w:p>
    <w:p>
      <w:pPr>
        <w:ind w:left="680" w:right="220" w:hanging="424"/>
        <w:spacing w:after="0" w:line="287" w:lineRule="auto"/>
        <w:tabs>
          <w:tab w:leader="none" w:pos="680" w:val="left"/>
        </w:tabs>
        <w:numPr>
          <w:ilvl w:val="0"/>
          <w:numId w:val="22"/>
        </w:numPr>
        <w:rPr>
          <w:rFonts w:ascii="MS PGothic" w:cs="MS PGothic" w:eastAsia="MS PGothic" w:hAnsi="MS PGothic"/>
          <w:sz w:val="16"/>
          <w:szCs w:val="16"/>
          <w:color w:val="auto"/>
        </w:rPr>
      </w:pPr>
      <w:r>
        <w:rPr>
          <w:rFonts w:ascii="Arial" w:cs="Arial" w:eastAsia="Arial" w:hAnsi="Arial"/>
          <w:sz w:val="16"/>
          <w:szCs w:val="16"/>
          <w:color w:val="auto"/>
        </w:rPr>
        <w:t>Have an executive compensation clawback policy that allows us to recover excess cash and equity-based or equity-linked incentive compensation paid to executives in various circumstances</w:t>
      </w:r>
    </w:p>
    <w:p>
      <w:pPr>
        <w:spacing w:after="0" w:line="2" w:lineRule="exact"/>
        <w:rPr>
          <w:rFonts w:ascii="MS PGothic" w:cs="MS PGothic" w:eastAsia="MS PGothic" w:hAnsi="MS PGothic"/>
          <w:sz w:val="16"/>
          <w:szCs w:val="16"/>
          <w:color w:val="auto"/>
        </w:rPr>
      </w:pPr>
    </w:p>
    <w:p>
      <w:pPr>
        <w:ind w:left="680"/>
        <w:spacing w:after="0" w:line="323" w:lineRule="auto"/>
        <w:rPr>
          <w:rFonts w:ascii="MS PGothic" w:cs="MS PGothic" w:eastAsia="MS PGothic" w:hAnsi="MS PGothic"/>
          <w:sz w:val="16"/>
          <w:szCs w:val="16"/>
          <w:color w:val="auto"/>
        </w:rPr>
      </w:pPr>
      <w:r>
        <w:rPr>
          <w:rFonts w:ascii="Arial" w:cs="Arial" w:eastAsia="Arial" w:hAnsi="Arial"/>
          <w:sz w:val="16"/>
          <w:szCs w:val="16"/>
          <w:color w:val="auto"/>
        </w:rPr>
        <w:t>Set maximum amount of compensation that may be paid to any single non-employee member of the Board in respect of any fiscal year</w:t>
      </w:r>
    </w:p>
    <w:p>
      <w:pPr>
        <w:spacing w:after="0" w:line="43" w:lineRule="exact"/>
        <w:rPr>
          <w:rFonts w:ascii="MS PGothic" w:cs="MS PGothic" w:eastAsia="MS PGothic" w:hAnsi="MS PGothic"/>
          <w:sz w:val="16"/>
          <w:szCs w:val="16"/>
          <w:color w:val="auto"/>
        </w:rPr>
      </w:pPr>
    </w:p>
    <w:p>
      <w:pPr>
        <w:ind w:left="680" w:hanging="424"/>
        <w:spacing w:after="0" w:line="330" w:lineRule="auto"/>
        <w:tabs>
          <w:tab w:leader="none" w:pos="680" w:val="left"/>
        </w:tabs>
        <w:numPr>
          <w:ilvl w:val="0"/>
          <w:numId w:val="22"/>
        </w:numPr>
        <w:rPr>
          <w:rFonts w:ascii="MS PGothic" w:cs="MS PGothic" w:eastAsia="MS PGothic" w:hAnsi="MS PGothic"/>
          <w:sz w:val="16"/>
          <w:szCs w:val="16"/>
          <w:color w:val="auto"/>
        </w:rPr>
      </w:pPr>
      <w:r>
        <w:rPr>
          <w:rFonts w:ascii="Arial" w:cs="Arial" w:eastAsia="Arial" w:hAnsi="Arial"/>
          <w:sz w:val="16"/>
          <w:szCs w:val="16"/>
          <w:color w:val="auto"/>
        </w:rPr>
        <w:t>Set maximum amount of compensation that may be paid to any single non-employee member of the Board in respect of any fiscal year</w:t>
      </w:r>
    </w:p>
    <w:p>
      <w:pPr>
        <w:spacing w:after="0" w:line="34" w:lineRule="exact"/>
        <w:rPr>
          <w:rFonts w:ascii="MS PGothic" w:cs="MS PGothic" w:eastAsia="MS PGothic" w:hAnsi="MS PGothic"/>
          <w:sz w:val="16"/>
          <w:szCs w:val="16"/>
          <w:color w:val="auto"/>
        </w:rPr>
      </w:pPr>
    </w:p>
    <w:p>
      <w:pPr>
        <w:ind w:left="680" w:right="120" w:hanging="424"/>
        <w:spacing w:after="0" w:line="277" w:lineRule="auto"/>
        <w:tabs>
          <w:tab w:leader="none" w:pos="68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Retain an independent compensation consultant reporting directly to the Compensation Committee</w:t>
      </w:r>
    </w:p>
    <w:p>
      <w:pPr>
        <w:spacing w:after="0" w:line="62" w:lineRule="exact"/>
        <w:rPr>
          <w:rFonts w:ascii="MS PGothic" w:cs="MS PGothic" w:eastAsia="MS PGothic" w:hAnsi="MS PGothic"/>
          <w:sz w:val="18"/>
          <w:szCs w:val="18"/>
          <w:color w:val="auto"/>
        </w:rPr>
      </w:pPr>
    </w:p>
    <w:p>
      <w:pPr>
        <w:ind w:left="680" w:hanging="424"/>
        <w:spacing w:after="0"/>
        <w:tabs>
          <w:tab w:leader="none" w:pos="68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Prohibit puts, calls and short sales of our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909"/>
        <w:spacing w:after="0"/>
        <w:rPr>
          <w:sz w:val="20"/>
          <w:szCs w:val="20"/>
          <w:color w:val="auto"/>
        </w:rPr>
      </w:pPr>
      <w:r>
        <w:rPr>
          <w:rFonts w:ascii="Arial" w:cs="Arial" w:eastAsia="Arial" w:hAnsi="Arial"/>
          <w:sz w:val="14"/>
          <w:szCs w:val="14"/>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15240</wp:posOffset>
            </wp:positionV>
            <wp:extent cx="32829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5" w:lineRule="exact"/>
        <w:rPr>
          <w:sz w:val="20"/>
          <w:szCs w:val="20"/>
          <w:color w:val="auto"/>
        </w:rPr>
      </w:pPr>
    </w:p>
    <w:p>
      <w:pPr>
        <w:ind w:left="349" w:hanging="349"/>
        <w:spacing w:after="0" w:line="274" w:lineRule="auto"/>
        <w:tabs>
          <w:tab w:leader="none" w:pos="349"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color w:val="auto"/>
        </w:rPr>
        <w:t>No change-in-control severance multiple in excess of three times annual base salary and target annual bonus</w:t>
      </w:r>
    </w:p>
    <w:p>
      <w:pPr>
        <w:spacing w:after="0" w:line="65" w:lineRule="exact"/>
        <w:rPr>
          <w:rFonts w:ascii="Arial" w:cs="Arial" w:eastAsia="Arial" w:hAnsi="Arial"/>
          <w:sz w:val="18"/>
          <w:szCs w:val="18"/>
          <w:b w:val="1"/>
          <w:bCs w:val="1"/>
          <w:i w:val="1"/>
          <w:iCs w:val="1"/>
          <w:color w:val="auto"/>
        </w:rPr>
      </w:pPr>
    </w:p>
    <w:p>
      <w:pPr>
        <w:ind w:left="349" w:hanging="349"/>
        <w:spacing w:after="0"/>
        <w:tabs>
          <w:tab w:leader="none" w:pos="349"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color w:val="auto"/>
        </w:rPr>
        <w:t>No excise tax gross-ups upon a change-in-control</w:t>
      </w:r>
    </w:p>
    <w:p>
      <w:pPr>
        <w:spacing w:after="0" w:line="333" w:lineRule="exact"/>
        <w:rPr>
          <w:rFonts w:ascii="Arial" w:cs="Arial" w:eastAsia="Arial" w:hAnsi="Arial"/>
          <w:sz w:val="18"/>
          <w:szCs w:val="18"/>
          <w:b w:val="1"/>
          <w:bCs w:val="1"/>
          <w:i w:val="1"/>
          <w:iCs w:val="1"/>
          <w:color w:val="auto"/>
        </w:rPr>
      </w:pPr>
    </w:p>
    <w:p>
      <w:pPr>
        <w:ind w:left="349" w:right="340" w:hanging="349"/>
        <w:spacing w:after="0" w:line="277" w:lineRule="auto"/>
        <w:tabs>
          <w:tab w:leader="none" w:pos="349"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color w:val="auto"/>
        </w:rPr>
        <w:t>No re-pricing or cash buyout of underwater stock options or SARs is allowed</w:t>
      </w:r>
    </w:p>
    <w:p>
      <w:pPr>
        <w:spacing w:after="0" w:line="200" w:lineRule="exact"/>
        <w:rPr>
          <w:rFonts w:ascii="Arial" w:cs="Arial" w:eastAsia="Arial" w:hAnsi="Arial"/>
          <w:sz w:val="18"/>
          <w:szCs w:val="18"/>
          <w:b w:val="1"/>
          <w:bCs w:val="1"/>
          <w:i w:val="1"/>
          <w:iCs w:val="1"/>
          <w:color w:val="auto"/>
        </w:rPr>
      </w:pPr>
    </w:p>
    <w:p>
      <w:pPr>
        <w:spacing w:after="0" w:line="294" w:lineRule="exact"/>
        <w:rPr>
          <w:rFonts w:ascii="Arial" w:cs="Arial" w:eastAsia="Arial" w:hAnsi="Arial"/>
          <w:sz w:val="18"/>
          <w:szCs w:val="18"/>
          <w:b w:val="1"/>
          <w:bCs w:val="1"/>
          <w:i w:val="1"/>
          <w:iCs w:val="1"/>
          <w:color w:val="auto"/>
        </w:rPr>
      </w:pPr>
    </w:p>
    <w:p>
      <w:pPr>
        <w:ind w:left="349" w:hanging="349"/>
        <w:spacing w:after="0"/>
        <w:tabs>
          <w:tab w:leader="none" w:pos="349" w:val="left"/>
        </w:tabs>
        <w:numPr>
          <w:ilvl w:val="0"/>
          <w:numId w:val="23"/>
        </w:numPr>
        <w:rPr>
          <w:rFonts w:ascii="Arial" w:cs="Arial" w:eastAsia="Arial" w:hAnsi="Arial"/>
          <w:sz w:val="17"/>
          <w:szCs w:val="17"/>
          <w:b w:val="1"/>
          <w:bCs w:val="1"/>
          <w:i w:val="1"/>
          <w:iCs w:val="1"/>
          <w:color w:val="auto"/>
        </w:rPr>
      </w:pPr>
      <w:r>
        <w:rPr>
          <w:rFonts w:ascii="Arial" w:cs="Arial" w:eastAsia="Arial" w:hAnsi="Arial"/>
          <w:sz w:val="17"/>
          <w:szCs w:val="17"/>
          <w:color w:val="auto"/>
        </w:rPr>
        <w:t>No enhanced retirement benefits for named executive officers</w:t>
      </w:r>
    </w:p>
    <w:p>
      <w:pPr>
        <w:spacing w:after="0" w:line="2493" w:lineRule="exact"/>
        <w:rPr>
          <w:sz w:val="20"/>
          <w:szCs w:val="20"/>
          <w:color w:val="auto"/>
        </w:rPr>
      </w:pPr>
    </w:p>
    <w:p>
      <w:pPr>
        <w:sectPr>
          <w:pgSz w:w="11900" w:h="16838" w:orient="portrait"/>
          <w:cols w:equalWidth="0" w:num="2">
            <w:col w:w="5720" w:space="331"/>
            <w:col w:w="5009"/>
          </w:cols>
          <w:pgMar w:left="320" w:top="459" w:right="519" w:bottom="1440" w:gutter="0" w:footer="0" w:header="0"/>
        </w:sectPr>
      </w:pP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Compensation Strategy</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executive compensation program is designed to attract, motivate and retain critical executive talent, and to motivate actions that drive profitable growth and enhance long-term value for our stockholders. This program includes base salary and performance-based incentives (including both cash-based and equity-based incentives) and is designed to be flexible, market competitive, reward achievement of difficult but fair performance criteria, and enhance stock ownership at the executive level. Our philosophy is that clear, distinct and attainable goals should be established in order to enable the assessment of performance by the Compensation Committee.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Pursuant to that philosophy, the Compensation Committee is guided by the general principles that compensation should be designed to:</w:t>
      </w:r>
    </w:p>
    <w:p>
      <w:pPr>
        <w:spacing w:after="0" w:line="142"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enhance stockholder value by focusing our executives’ efforts on the specific performance metrics that drive enterprise value;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 motivate, and retain highly-qualified executives committed to our long-term success;</w:t>
      </w:r>
    </w:p>
    <w:p>
      <w:pPr>
        <w:spacing w:after="0" w:line="130"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assure that our executives receive reasonable compensation opportunities relative to their peers at similar companies, and actual compensation payouts that are aligned with our performance;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align critical decision making with our business strategy and goal setting.</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60"/>
          </w:cols>
          <w:pgMar w:left="320" w:top="459" w:right="51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key elements of our 2019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183515</wp:posOffset>
            </wp:positionV>
            <wp:extent cx="5203190" cy="57607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03190" cy="5760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139"/>
          </w:cols>
          <w:pgMar w:left="320" w:top="45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We Determine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the Compensation Committee</w:t>
      </w:r>
    </w:p>
    <w:p>
      <w:pPr>
        <w:spacing w:after="0" w:line="117"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The Compensation Committee’s primary role is to discharge the Board’s responsibilities regarding compensation decisions as they relate to our executive officers. The Compensation Committee consists of independent directors and is responsible to our Board for the oversight of our executive compensation programs. Among its duties, the Compensation Committee is responsible for:</w:t>
      </w:r>
    </w:p>
    <w:p>
      <w:pPr>
        <w:spacing w:after="0" w:line="89"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assessing competitive market data from the Compensation Committee’s independent compensation consultant;</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in certain cases, approving incentive goals/objectives and compensation recommendations for directors and executive officers, including the named executive officers;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evaluating the competitiveness of each executive officer’s total compensation package;</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approving any changes to the total compensation package, including, but not limited to, base salary, annual incentives, long-term incentive award opportunities and payouts, and retention programs;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ensuring our policies and practices relating to compensation do not encourage excessive risk-taking conduct.</w:t>
      </w:r>
    </w:p>
    <w:p>
      <w:pPr>
        <w:spacing w:after="0" w:line="225"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Following review and discussion, the Compensation Committee may submit recommendations to the Board for approval. The Compensation Committee is supported in its work by the Chief Financial Officer and his staff (with respect to the establishment of performance metrics), and Aon Hewitt, its independent compensation consultant (“Aon”).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the Independent Compensation Consultant</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Compensation Committee retained Aon for executive compensation advisory services, namely, to conduct its annual total compensation study for executive and key manager positions. Aon reports directly to the Compensation Committee and the Compensation Committee directly oversees the work performed by, and determines the fees paid to, Aon in connection with the services it provides to the Compensation Committee. The Compensation Committee instructs Aon to give advice to the Compensation Committee independent of management and to provide such advice for our benefit and for the benefit of our stockholders. With the Compensation Committee’s approval, Aon may work directly with management on certain executive compensation matters. Aon did not perform any other services for us during 2019. The Compensation Committee reviews the independence of its compensation consultant on an annual basis, taking into account a number of factors, including the six factors articulated in the NASDAQ listing standards and applicable SEC guidance. For 2019, the Compensation Committee determined that Aon was independent and its services to the Compensation Committee did not raise any conflicts of interest among the Compensation Committee, us or our management.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Specific roles of Aon include, but are not limited to, the following:</w:t>
      </w:r>
    </w:p>
    <w:p>
      <w:pPr>
        <w:spacing w:after="0" w:line="131"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identifying and advising the Compensation Committee on executive compensation trends and regulatory developments;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providing a total compensation study for executives against peer companies and recommendations for named executive officer pay;</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providing advice to the Compensation Committee on governance best practices as well as any other areas of concern or risk;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serving as a resource to the Compensation Committee Chair for meeting agendas and supporting materials in advance of each meeting;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advising the Compensation Committee on management’s pay recommendations.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Management in Compensation Decisions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CEO makes recommendations to the Compensation Committee concerning the compensation of the named executive officers (other than himself) and other senior management. In addition, the CEO and Chief Financial Officer (“CFO”) are involved in setting the business goals that are used as the performance goals for the annual incentive plan and long-term performance units, subject to the Compensation Committee’s approval. The CEO and CFO work closely with the Compensation Committee, Aon and management to (i) ensure that the Compensation Committee is provided with the appropriate information to make its decisions, (ii) propose recommendations for the Compensation Committee’s consideration and (iii) communicate the Compensation Committee’s decisions to management for implementation. None of the named executive officers, however, play a role in determining their own compensation and are not present at executive sessions in which their pay is discussed, recommended or approved.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Determination of CEO Pay</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 an executive session without management present, the Compensation Committee reviews and evaluates CEO compensation. The Compensation Committee reviews competitive market data, and both corporate financial performance and individual performance. Pay recommendations for the CEO, including base salary, incentive payments for the previous year, and equity grants for the current year, are presented to the independent members of the Board. During an executive session of the Board, the Board conducts its own review and evaluation of the CEO’s performance.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Peer Companies and Competitive Benchmarking</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For 2019, the Compensation Committee commissioned Aon to conduct an annual total compensation study for executive officer and key manager positions. The Compensation Committee reviewed competitive market data to gain a comprehensive understanding of market pay practices, and combined that information with its discretion to consider experience, tenure, position, and individual contributions to assist with individual pay decisions (i.e., salary adjustments, target bonus, and long-term incentive grants).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peer group for 2019 consisted of the following companies:</w:t>
      </w:r>
    </w:p>
    <w:p>
      <w:pPr>
        <w:spacing w:after="0" w:line="246" w:lineRule="exact"/>
        <w:rPr>
          <w:sz w:val="20"/>
          <w:szCs w:val="20"/>
          <w:color w:val="auto"/>
        </w:rPr>
      </w:pPr>
    </w:p>
    <w:tbl>
      <w:tblPr>
        <w:tblLayout w:type="fixed"/>
        <w:tblInd w:w="1010" w:type="dxa"/>
        <w:tblCellMar>
          <w:top w:w="0" w:type="dxa"/>
          <w:left w:w="0" w:type="dxa"/>
          <w:bottom w:w="0" w:type="dxa"/>
          <w:right w:w="0" w:type="dxa"/>
        </w:tblCellMar>
      </w:tblPr>
      <w:tr>
        <w:trPr>
          <w:trHeight w:val="288"/>
        </w:trPr>
        <w:tc>
          <w:tcPr>
            <w:tcW w:w="4660" w:type="dxa"/>
            <w:vAlign w:val="bottom"/>
            <w:tcBorders>
              <w:top w:val="single" w:sz="8" w:color="auto"/>
              <w:left w:val="single" w:sz="8" w:color="auto"/>
              <w:bottom w:val="single" w:sz="8" w:color="F7A800"/>
              <w:right w:val="single" w:sz="8" w:color="auto"/>
            </w:tcBorders>
            <w:shd w:val="clear" w:color="auto" w:fill="F7A800"/>
          </w:tcPr>
          <w:p>
            <w:pPr>
              <w:ind w:left="380"/>
              <w:spacing w:after="0"/>
              <w:rPr>
                <w:sz w:val="20"/>
                <w:szCs w:val="20"/>
                <w:color w:val="auto"/>
              </w:rPr>
            </w:pPr>
            <w:r>
              <w:rPr>
                <w:rFonts w:ascii="Arial" w:cs="Arial" w:eastAsia="Arial" w:hAnsi="Arial"/>
                <w:sz w:val="18"/>
                <w:szCs w:val="18"/>
                <w:color w:val="auto"/>
              </w:rPr>
              <w:t>Boyd Gaming Corporation</w:t>
            </w:r>
          </w:p>
        </w:tc>
        <w:tc>
          <w:tcPr>
            <w:tcW w:w="4620" w:type="dxa"/>
            <w:vAlign w:val="bottom"/>
            <w:tcBorders>
              <w:top w:val="single" w:sz="8" w:color="auto"/>
              <w:bottom w:val="single" w:sz="8" w:color="F7A800"/>
              <w:right w:val="single" w:sz="8" w:color="auto"/>
            </w:tcBorders>
            <w:shd w:val="clear" w:color="auto" w:fill="F7A800"/>
          </w:tcPr>
          <w:p>
            <w:pPr>
              <w:ind w:left="280"/>
              <w:spacing w:after="0"/>
              <w:rPr>
                <w:sz w:val="20"/>
                <w:szCs w:val="20"/>
                <w:color w:val="auto"/>
              </w:rPr>
            </w:pPr>
            <w:r>
              <w:rPr>
                <w:rFonts w:ascii="Arial" w:cs="Arial" w:eastAsia="Arial" w:hAnsi="Arial"/>
                <w:sz w:val="18"/>
                <w:szCs w:val="18"/>
                <w:color w:val="auto"/>
              </w:rPr>
              <w:t>Hyatt Hotels Corporation</w:t>
            </w:r>
          </w:p>
        </w:tc>
      </w:tr>
      <w:tr>
        <w:trPr>
          <w:trHeight w:val="268"/>
        </w:trPr>
        <w:tc>
          <w:tcPr>
            <w:tcW w:w="4660" w:type="dxa"/>
            <w:vAlign w:val="bottom"/>
            <w:tcBorders>
              <w:top w:val="single" w:sz="8" w:color="auto"/>
              <w:left w:val="single" w:sz="8" w:color="auto"/>
              <w:bottom w:val="single" w:sz="8" w:color="F7A800"/>
              <w:right w:val="single" w:sz="8" w:color="auto"/>
            </w:tcBorders>
            <w:shd w:val="clear" w:color="auto" w:fill="F7A800"/>
          </w:tcPr>
          <w:p>
            <w:pPr>
              <w:ind w:left="380"/>
              <w:spacing w:after="0"/>
              <w:rPr>
                <w:sz w:val="20"/>
                <w:szCs w:val="20"/>
                <w:color w:val="auto"/>
              </w:rPr>
            </w:pPr>
            <w:r>
              <w:rPr>
                <w:rFonts w:ascii="Arial" w:cs="Arial" w:eastAsia="Arial" w:hAnsi="Arial"/>
                <w:sz w:val="18"/>
                <w:szCs w:val="18"/>
                <w:color w:val="auto"/>
              </w:rPr>
              <w:t>Caesars Entertainment Corporation*</w:t>
            </w:r>
          </w:p>
        </w:tc>
        <w:tc>
          <w:tcPr>
            <w:tcW w:w="4620" w:type="dxa"/>
            <w:vAlign w:val="bottom"/>
            <w:tcBorders>
              <w:top w:val="single" w:sz="8" w:color="auto"/>
              <w:bottom w:val="single" w:sz="8" w:color="F7A800"/>
              <w:right w:val="single" w:sz="8" w:color="auto"/>
            </w:tcBorders>
            <w:shd w:val="clear" w:color="auto" w:fill="F7A800"/>
          </w:tcPr>
          <w:p>
            <w:pPr>
              <w:ind w:left="280"/>
              <w:spacing w:after="0"/>
              <w:rPr>
                <w:sz w:val="20"/>
                <w:szCs w:val="20"/>
                <w:color w:val="auto"/>
              </w:rPr>
            </w:pPr>
            <w:r>
              <w:rPr>
                <w:rFonts w:ascii="Arial" w:cs="Arial" w:eastAsia="Arial" w:hAnsi="Arial"/>
                <w:sz w:val="18"/>
                <w:szCs w:val="18"/>
                <w:color w:val="auto"/>
              </w:rPr>
              <w:t>Penn National Gaming, Inc.</w:t>
            </w:r>
          </w:p>
        </w:tc>
      </w:tr>
      <w:tr>
        <w:trPr>
          <w:trHeight w:val="269"/>
        </w:trPr>
        <w:tc>
          <w:tcPr>
            <w:tcW w:w="4660" w:type="dxa"/>
            <w:vAlign w:val="bottom"/>
            <w:tcBorders>
              <w:top w:val="single" w:sz="8" w:color="auto"/>
              <w:left w:val="single" w:sz="8" w:color="auto"/>
              <w:bottom w:val="single" w:sz="8" w:color="F7A800"/>
              <w:right w:val="single" w:sz="8" w:color="auto"/>
            </w:tcBorders>
            <w:shd w:val="clear" w:color="auto" w:fill="F7A800"/>
          </w:tcPr>
          <w:p>
            <w:pPr>
              <w:ind w:left="380"/>
              <w:spacing w:after="0"/>
              <w:rPr>
                <w:sz w:val="20"/>
                <w:szCs w:val="20"/>
                <w:color w:val="auto"/>
              </w:rPr>
            </w:pPr>
            <w:r>
              <w:rPr>
                <w:rFonts w:ascii="Arial" w:cs="Arial" w:eastAsia="Arial" w:hAnsi="Arial"/>
                <w:sz w:val="18"/>
                <w:szCs w:val="18"/>
                <w:color w:val="auto"/>
              </w:rPr>
              <w:t>Choice Hotels International, Inc.</w:t>
            </w:r>
          </w:p>
        </w:tc>
        <w:tc>
          <w:tcPr>
            <w:tcW w:w="4620" w:type="dxa"/>
            <w:vAlign w:val="bottom"/>
            <w:tcBorders>
              <w:top w:val="single" w:sz="8" w:color="auto"/>
              <w:bottom w:val="single" w:sz="8" w:color="F7A800"/>
              <w:right w:val="single" w:sz="8" w:color="auto"/>
            </w:tcBorders>
            <w:shd w:val="clear" w:color="auto" w:fill="F7A800"/>
          </w:tcPr>
          <w:p>
            <w:pPr>
              <w:ind w:left="280"/>
              <w:spacing w:after="0"/>
              <w:rPr>
                <w:sz w:val="20"/>
                <w:szCs w:val="20"/>
                <w:color w:val="auto"/>
              </w:rPr>
            </w:pPr>
            <w:r>
              <w:rPr>
                <w:rFonts w:ascii="Arial" w:cs="Arial" w:eastAsia="Arial" w:hAnsi="Arial"/>
                <w:sz w:val="18"/>
                <w:szCs w:val="18"/>
                <w:color w:val="auto"/>
              </w:rPr>
              <w:t>Pinnacle Entertainment, Inc.</w:t>
            </w:r>
          </w:p>
        </w:tc>
      </w:tr>
      <w:tr>
        <w:trPr>
          <w:trHeight w:val="268"/>
        </w:trPr>
        <w:tc>
          <w:tcPr>
            <w:tcW w:w="4660" w:type="dxa"/>
            <w:vAlign w:val="bottom"/>
            <w:tcBorders>
              <w:top w:val="single" w:sz="8" w:color="auto"/>
              <w:left w:val="single" w:sz="8" w:color="auto"/>
              <w:bottom w:val="single" w:sz="8" w:color="F7A800"/>
              <w:right w:val="single" w:sz="8" w:color="auto"/>
            </w:tcBorders>
            <w:shd w:val="clear" w:color="auto" w:fill="F7A800"/>
          </w:tcPr>
          <w:p>
            <w:pPr>
              <w:ind w:left="380"/>
              <w:spacing w:after="0"/>
              <w:rPr>
                <w:sz w:val="20"/>
                <w:szCs w:val="20"/>
                <w:color w:val="auto"/>
              </w:rPr>
            </w:pPr>
            <w:r>
              <w:rPr>
                <w:rFonts w:ascii="Arial" w:cs="Arial" w:eastAsia="Arial" w:hAnsi="Arial"/>
                <w:sz w:val="18"/>
                <w:szCs w:val="18"/>
                <w:color w:val="auto"/>
              </w:rPr>
              <w:t>Churchill Downs Incorporated</w:t>
            </w:r>
          </w:p>
        </w:tc>
        <w:tc>
          <w:tcPr>
            <w:tcW w:w="4620" w:type="dxa"/>
            <w:vAlign w:val="bottom"/>
            <w:tcBorders>
              <w:top w:val="single" w:sz="8" w:color="auto"/>
              <w:bottom w:val="single" w:sz="8" w:color="F7A800"/>
              <w:right w:val="single" w:sz="8" w:color="auto"/>
            </w:tcBorders>
            <w:shd w:val="clear" w:color="auto" w:fill="F7A800"/>
          </w:tcPr>
          <w:p>
            <w:pPr>
              <w:ind w:left="280"/>
              <w:spacing w:after="0"/>
              <w:rPr>
                <w:sz w:val="20"/>
                <w:szCs w:val="20"/>
                <w:color w:val="auto"/>
              </w:rPr>
            </w:pPr>
            <w:r>
              <w:rPr>
                <w:rFonts w:ascii="Arial" w:cs="Arial" w:eastAsia="Arial" w:hAnsi="Arial"/>
                <w:sz w:val="18"/>
                <w:szCs w:val="18"/>
                <w:color w:val="auto"/>
              </w:rPr>
              <w:t>Red Rock Resorts, Inc.</w:t>
            </w:r>
          </w:p>
        </w:tc>
      </w:tr>
      <w:tr>
        <w:trPr>
          <w:trHeight w:val="244"/>
        </w:trPr>
        <w:tc>
          <w:tcPr>
            <w:tcW w:w="4660" w:type="dxa"/>
            <w:vAlign w:val="bottom"/>
            <w:tcBorders>
              <w:top w:val="single" w:sz="8" w:color="auto"/>
              <w:left w:val="single" w:sz="8" w:color="auto"/>
              <w:bottom w:val="single" w:sz="8" w:color="F7A800"/>
              <w:right w:val="single" w:sz="8" w:color="auto"/>
            </w:tcBorders>
            <w:shd w:val="clear" w:color="auto" w:fill="F7A800"/>
          </w:tcPr>
          <w:p>
            <w:pPr>
              <w:ind w:left="380"/>
              <w:spacing w:after="0"/>
              <w:rPr>
                <w:sz w:val="20"/>
                <w:szCs w:val="20"/>
                <w:color w:val="auto"/>
              </w:rPr>
            </w:pPr>
            <w:r>
              <w:rPr>
                <w:rFonts w:ascii="Arial" w:cs="Arial" w:eastAsia="Arial" w:hAnsi="Arial"/>
                <w:sz w:val="18"/>
                <w:szCs w:val="18"/>
                <w:color w:val="auto"/>
              </w:rPr>
              <w:t>Golden Entertainment, Inc.</w:t>
            </w:r>
          </w:p>
        </w:tc>
        <w:tc>
          <w:tcPr>
            <w:tcW w:w="4620" w:type="dxa"/>
            <w:vAlign w:val="bottom"/>
            <w:tcBorders>
              <w:top w:val="single" w:sz="8" w:color="auto"/>
              <w:bottom w:val="single" w:sz="8" w:color="F7A800"/>
              <w:right w:val="single" w:sz="8" w:color="auto"/>
            </w:tcBorders>
            <w:shd w:val="clear" w:color="auto" w:fill="F7A800"/>
          </w:tcPr>
          <w:p>
            <w:pPr>
              <w:ind w:left="280"/>
              <w:spacing w:after="0"/>
              <w:rPr>
                <w:sz w:val="20"/>
                <w:szCs w:val="20"/>
                <w:color w:val="auto"/>
              </w:rPr>
            </w:pPr>
            <w:r>
              <w:rPr>
                <w:rFonts w:ascii="Arial" w:cs="Arial" w:eastAsia="Arial" w:hAnsi="Arial"/>
                <w:sz w:val="18"/>
                <w:szCs w:val="18"/>
                <w:color w:val="auto"/>
              </w:rPr>
              <w:t>Vail Resorts, Inc.</w:t>
            </w:r>
          </w:p>
        </w:tc>
      </w:tr>
      <w:tr>
        <w:trPr>
          <w:trHeight w:val="20"/>
        </w:trPr>
        <w:tc>
          <w:tcPr>
            <w:tcW w:w="46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620" w:type="dxa"/>
            <w:vAlign w:val="bottom"/>
            <w:tcBorders>
              <w:right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On June 24, 2019, we entered into an agreement and plan of merger to consummate a strategic combination with Caesars Entertainment Corporation</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primary criteria used for peer group development included:</w:t>
      </w:r>
    </w:p>
    <w:p>
      <w:pPr>
        <w:spacing w:after="0" w:line="131" w:lineRule="exact"/>
        <w:rPr>
          <w:sz w:val="20"/>
          <w:szCs w:val="20"/>
          <w:color w:val="auto"/>
        </w:rPr>
      </w:pPr>
    </w:p>
    <w:p>
      <w:pPr>
        <w:ind w:left="1540" w:hanging="439"/>
        <w:spacing w:after="0"/>
        <w:tabs>
          <w:tab w:leader="none" w:pos="1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Companies from the gaming, casino and hospitality industries;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 revenues within approximately 0.4x to 3x our annual revenues;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cap within approximately 0.2x to 5x our market cap; and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Peer companies used by our peer companies, as disclosed in their respective CD&amp;As.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Elements of Our Compensation Program</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Our executive officer compensation program consists of three core elements: base salary, the annual bonus plan (cash-based), and the long-term incentive program (equity-based).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Base salaries are intended to help us compete for and retain quality executives and to compensate the named executive officers for their day-to-day services. Annual incentive compensation is designed to motivate the named executive officers to achieve shorter-term company-wide financial goals. Long-term equity-based awards are designed to encourage the achievement of longer-term performance goals and create an ownership culture focused on long-term value creation for our stockholders. We also provide executives with access to retirement and health and welfare programs, on the same terms and conditions as those made available to salaried employees generally. Our targeted pay mix (salary vs. performance-based incentive pay) reflects a combination of competitive market conditions and strategic business needs. The degree of performance-based incentive pay (“at risk” compensation) and total compensation opportunities generally increase with an executive’s responsibility level. Competitive pay practices are reviewed annually by the Compensation Committee.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Compensation Opportunity</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For 2019, the Compensation Committee approved pay adjustments to align NEO total compensation opportunities closer to the 50th percentile, based on a review of independent peer company market data from Aon. The Compensation Committee considered the impact of our 2018 acquisition of Tropicana Entertainment and the significant role promotions for Mr. Reeg and Mr. Anthony Carano during their deliberations.</w:t>
      </w:r>
    </w:p>
    <w:p>
      <w:pPr>
        <w:spacing w:after="0" w:line="188" w:lineRule="exact"/>
        <w:rPr>
          <w:sz w:val="20"/>
          <w:szCs w:val="20"/>
          <w:color w:val="auto"/>
        </w:rPr>
      </w:pPr>
    </w:p>
    <w:p>
      <w:pPr>
        <w:ind w:left="2020"/>
        <w:spacing w:after="0"/>
        <w:tabs>
          <w:tab w:leader="none" w:pos="7560" w:val="left"/>
        </w:tabs>
        <w:rPr>
          <w:sz w:val="20"/>
          <w:szCs w:val="20"/>
          <w:color w:val="auto"/>
        </w:rPr>
      </w:pPr>
      <w:r>
        <w:rPr>
          <w:rFonts w:ascii="Arial" w:cs="Arial" w:eastAsia="Arial" w:hAnsi="Arial"/>
          <w:sz w:val="18"/>
          <w:szCs w:val="18"/>
          <w:b w:val="1"/>
          <w:bCs w:val="1"/>
          <w:color w:val="auto"/>
        </w:rPr>
        <w:t>Chief Executive Officer</w:t>
      </w:r>
      <w:r>
        <w:rPr>
          <w:sz w:val="20"/>
          <w:szCs w:val="20"/>
          <w:color w:val="auto"/>
        </w:rPr>
        <w:tab/>
      </w:r>
      <w:r>
        <w:rPr>
          <w:rFonts w:ascii="Arial" w:cs="Arial" w:eastAsia="Arial" w:hAnsi="Arial"/>
          <w:sz w:val="16"/>
          <w:szCs w:val="16"/>
          <w:b w:val="1"/>
          <w:bCs w:val="1"/>
          <w:color w:val="auto"/>
        </w:rPr>
        <w:t>Average of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154305</wp:posOffset>
            </wp:positionV>
            <wp:extent cx="6129020" cy="17576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29020"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Compensation Committee believes that base salary levels should recognize the skill, competency, experience and performance an executive brings to his position. The Compensation Committee determines base salaries using both competitive market data from Aon’s annual study and a comprehensive assessment of relevant factors such as experience level, value to stockholders, responsibilities, future leadership potential, critical skills, individual contributions and performance, economic conditions, and the market demands for similar talent.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2019, the Compensation Committee reviewed market values from the annual total compensation study presented by Aon in the Fall of 2018.</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addition, the Compensation Committee reviewed with Aon the impact to competitive market values of our 2017 Isle of Capri acquisition, our 2018</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Tropicana Entertainment acquisition, and the significant promotions for Mr. Reeg and Mr. Anthony Carano, both effective January 1, 2019.</w:t>
      </w:r>
    </w:p>
    <w:p>
      <w:pPr>
        <w:spacing w:after="0" w:line="1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Based on the Compensation Committee’s thorough review of independent market data, the following 2019 base salaries were approved to move all of our NEOs closer to the competitive 50th percentile of our peers and to account for substantial leadership promotions for Mr. Reeg and Mr. Anthony Carano.</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88"/>
        </w:trPr>
        <w:tc>
          <w:tcPr>
            <w:tcW w:w="460" w:type="dxa"/>
            <w:vAlign w:val="bottom"/>
            <w:tcBorders>
              <w:right w:val="single" w:sz="8" w:color="auto"/>
            </w:tcBorders>
          </w:tcPr>
          <w:p>
            <w:pPr>
              <w:spacing w:after="0"/>
              <w:rPr>
                <w:sz w:val="24"/>
                <w:szCs w:val="24"/>
                <w:color w:val="auto"/>
              </w:rPr>
            </w:pPr>
          </w:p>
        </w:tc>
        <w:tc>
          <w:tcPr>
            <w:tcW w:w="760" w:type="dxa"/>
            <w:vAlign w:val="bottom"/>
            <w:tcBorders>
              <w:top w:val="single" w:sz="8" w:color="auto"/>
              <w:bottom w:val="single" w:sz="8" w:color="F7A800"/>
            </w:tcBorders>
            <w:shd w:val="clear" w:color="auto" w:fill="F7A800"/>
          </w:tcPr>
          <w:p>
            <w:pPr>
              <w:spacing w:after="0"/>
              <w:rPr>
                <w:sz w:val="24"/>
                <w:szCs w:val="24"/>
                <w:color w:val="auto"/>
              </w:rPr>
            </w:pPr>
          </w:p>
        </w:tc>
        <w:tc>
          <w:tcPr>
            <w:tcW w:w="2680" w:type="dxa"/>
            <w:vAlign w:val="bottom"/>
            <w:tcBorders>
              <w:top w:val="single" w:sz="8" w:color="auto"/>
              <w:bottom w:val="single" w:sz="8" w:color="F7A800"/>
              <w:right w:val="single" w:sz="8" w:color="auto"/>
            </w:tcBorders>
            <w:shd w:val="clear" w:color="auto" w:fill="F7A800"/>
          </w:tcPr>
          <w:p>
            <w:pPr>
              <w:jc w:val="center"/>
              <w:ind w:right="553"/>
              <w:spacing w:after="0"/>
              <w:rPr>
                <w:sz w:val="20"/>
                <w:szCs w:val="20"/>
                <w:color w:val="auto"/>
              </w:rPr>
            </w:pPr>
            <w:r>
              <w:rPr>
                <w:rFonts w:ascii="Arial" w:cs="Arial" w:eastAsia="Arial" w:hAnsi="Arial"/>
                <w:sz w:val="14"/>
                <w:szCs w:val="14"/>
                <w:b w:val="1"/>
                <w:bCs w:val="1"/>
                <w:color w:val="auto"/>
                <w:w w:val="93"/>
              </w:rPr>
              <w:t>Executive Name</w:t>
            </w:r>
          </w:p>
        </w:tc>
        <w:tc>
          <w:tcPr>
            <w:tcW w:w="3360" w:type="dxa"/>
            <w:vAlign w:val="bottom"/>
            <w:tcBorders>
              <w:top w:val="single" w:sz="8" w:color="auto"/>
              <w:bottom w:val="single" w:sz="8" w:color="F7A800"/>
              <w:right w:val="single" w:sz="8" w:color="auto"/>
            </w:tcBorders>
            <w:shd w:val="clear" w:color="auto" w:fill="F7A800"/>
          </w:tcPr>
          <w:p>
            <w:pPr>
              <w:jc w:val="center"/>
              <w:spacing w:after="0"/>
              <w:rPr>
                <w:sz w:val="20"/>
                <w:szCs w:val="20"/>
                <w:color w:val="auto"/>
              </w:rPr>
            </w:pPr>
            <w:r>
              <w:rPr>
                <w:rFonts w:ascii="Arial" w:cs="Arial" w:eastAsia="Arial" w:hAnsi="Arial"/>
                <w:sz w:val="14"/>
                <w:szCs w:val="14"/>
                <w:b w:val="1"/>
                <w:bCs w:val="1"/>
                <w:color w:val="auto"/>
                <w:w w:val="93"/>
              </w:rPr>
              <w:t>2018 Annual Base Salary ($)</w:t>
            </w:r>
          </w:p>
        </w:tc>
        <w:tc>
          <w:tcPr>
            <w:tcW w:w="3320" w:type="dxa"/>
            <w:vAlign w:val="bottom"/>
            <w:tcBorders>
              <w:top w:val="single" w:sz="8" w:color="auto"/>
              <w:bottom w:val="single" w:sz="8" w:color="F7A800"/>
              <w:right w:val="single" w:sz="8" w:color="auto"/>
            </w:tcBorders>
            <w:shd w:val="clear" w:color="auto" w:fill="F7A800"/>
          </w:tcPr>
          <w:p>
            <w:pPr>
              <w:ind w:left="800"/>
              <w:spacing w:after="0"/>
              <w:rPr>
                <w:sz w:val="20"/>
                <w:szCs w:val="20"/>
                <w:color w:val="auto"/>
              </w:rPr>
            </w:pPr>
            <w:r>
              <w:rPr>
                <w:rFonts w:ascii="Arial" w:cs="Arial" w:eastAsia="Arial" w:hAnsi="Arial"/>
                <w:sz w:val="14"/>
                <w:szCs w:val="14"/>
                <w:b w:val="1"/>
                <w:bCs w:val="1"/>
                <w:color w:val="auto"/>
              </w:rPr>
              <w:t>2019 Annual Base Salary ($)</w:t>
            </w:r>
          </w:p>
        </w:tc>
      </w:tr>
      <w:tr>
        <w:trPr>
          <w:trHeight w:val="268"/>
        </w:trPr>
        <w:tc>
          <w:tcPr>
            <w:tcW w:w="460" w:type="dxa"/>
            <w:vAlign w:val="bottom"/>
            <w:tcBorders>
              <w:right w:val="single" w:sz="8" w:color="auto"/>
            </w:tcBorders>
          </w:tcPr>
          <w:p>
            <w:pPr>
              <w:spacing w:after="0"/>
              <w:rPr>
                <w:sz w:val="22"/>
                <w:szCs w:val="22"/>
                <w:color w:val="auto"/>
              </w:rPr>
            </w:pPr>
          </w:p>
        </w:tc>
        <w:tc>
          <w:tcPr>
            <w:tcW w:w="760" w:type="dxa"/>
            <w:vAlign w:val="bottom"/>
            <w:tcBorders>
              <w:top w:val="single" w:sz="8" w:color="auto"/>
              <w:bottom w:val="single" w:sz="8" w:color="F7A800"/>
            </w:tcBorders>
            <w:shd w:val="clear" w:color="auto" w:fill="F7A800"/>
          </w:tcPr>
          <w:p>
            <w:pPr>
              <w:spacing w:after="0"/>
              <w:rPr>
                <w:sz w:val="22"/>
                <w:szCs w:val="22"/>
                <w:color w:val="auto"/>
              </w:rPr>
            </w:pPr>
          </w:p>
        </w:tc>
        <w:tc>
          <w:tcPr>
            <w:tcW w:w="2680" w:type="dxa"/>
            <w:vAlign w:val="bottom"/>
            <w:tcBorders>
              <w:top w:val="single" w:sz="8" w:color="auto"/>
              <w:bottom w:val="single" w:sz="8" w:color="F7A800"/>
              <w:right w:val="single" w:sz="8" w:color="auto"/>
            </w:tcBorders>
            <w:shd w:val="clear" w:color="auto" w:fill="F7A800"/>
          </w:tcPr>
          <w:p>
            <w:pPr>
              <w:jc w:val="center"/>
              <w:ind w:right="553"/>
              <w:spacing w:after="0"/>
              <w:rPr>
                <w:sz w:val="20"/>
                <w:szCs w:val="20"/>
                <w:color w:val="auto"/>
              </w:rPr>
            </w:pPr>
            <w:r>
              <w:rPr>
                <w:rFonts w:ascii="Arial" w:cs="Arial" w:eastAsia="Arial" w:hAnsi="Arial"/>
                <w:sz w:val="18"/>
                <w:szCs w:val="18"/>
                <w:color w:val="auto"/>
                <w:w w:val="90"/>
              </w:rPr>
              <w:t>Gary L. Carano(1)</w:t>
            </w:r>
          </w:p>
        </w:tc>
        <w:tc>
          <w:tcPr>
            <w:tcW w:w="3360" w:type="dxa"/>
            <w:vAlign w:val="bottom"/>
            <w:tcBorders>
              <w:top w:val="single" w:sz="8" w:color="auto"/>
              <w:bottom w:val="single" w:sz="8" w:color="F7A800"/>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89"/>
              </w:rPr>
              <w:t>1,100,000</w:t>
            </w:r>
          </w:p>
        </w:tc>
        <w:tc>
          <w:tcPr>
            <w:tcW w:w="3320" w:type="dxa"/>
            <w:vAlign w:val="bottom"/>
            <w:tcBorders>
              <w:top w:val="single" w:sz="8" w:color="auto"/>
              <w:bottom w:val="single" w:sz="8" w:color="F7A800"/>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89"/>
              </w:rPr>
              <w:t>1,100,000</w:t>
            </w:r>
          </w:p>
        </w:tc>
      </w:tr>
      <w:tr>
        <w:trPr>
          <w:trHeight w:val="268"/>
        </w:trPr>
        <w:tc>
          <w:tcPr>
            <w:tcW w:w="460" w:type="dxa"/>
            <w:vAlign w:val="bottom"/>
            <w:tcBorders>
              <w:right w:val="single" w:sz="8" w:color="auto"/>
            </w:tcBorders>
          </w:tcPr>
          <w:p>
            <w:pPr>
              <w:spacing w:after="0"/>
              <w:rPr>
                <w:sz w:val="22"/>
                <w:szCs w:val="22"/>
                <w:color w:val="auto"/>
              </w:rPr>
            </w:pPr>
          </w:p>
        </w:tc>
        <w:tc>
          <w:tcPr>
            <w:tcW w:w="760" w:type="dxa"/>
            <w:vAlign w:val="bottom"/>
            <w:tcBorders>
              <w:top w:val="single" w:sz="8" w:color="auto"/>
              <w:bottom w:val="single" w:sz="8" w:color="F7A800"/>
            </w:tcBorders>
            <w:shd w:val="clear" w:color="auto" w:fill="F7A800"/>
          </w:tcPr>
          <w:p>
            <w:pPr>
              <w:spacing w:after="0"/>
              <w:rPr>
                <w:sz w:val="22"/>
                <w:szCs w:val="22"/>
                <w:color w:val="auto"/>
              </w:rPr>
            </w:pPr>
          </w:p>
        </w:tc>
        <w:tc>
          <w:tcPr>
            <w:tcW w:w="2680" w:type="dxa"/>
            <w:vAlign w:val="bottom"/>
            <w:tcBorders>
              <w:top w:val="single" w:sz="8" w:color="auto"/>
              <w:bottom w:val="single" w:sz="8" w:color="F7A800"/>
              <w:right w:val="single" w:sz="8" w:color="auto"/>
            </w:tcBorders>
            <w:shd w:val="clear" w:color="auto" w:fill="F7A800"/>
          </w:tcPr>
          <w:p>
            <w:pPr>
              <w:jc w:val="center"/>
              <w:ind w:right="553"/>
              <w:spacing w:after="0"/>
              <w:rPr>
                <w:sz w:val="20"/>
                <w:szCs w:val="20"/>
                <w:color w:val="auto"/>
              </w:rPr>
            </w:pPr>
            <w:r>
              <w:rPr>
                <w:rFonts w:ascii="Arial" w:cs="Arial" w:eastAsia="Arial" w:hAnsi="Arial"/>
                <w:sz w:val="18"/>
                <w:szCs w:val="18"/>
                <w:color w:val="auto"/>
                <w:w w:val="88"/>
              </w:rPr>
              <w:t>Thomas R. Reeg(2)</w:t>
            </w:r>
          </w:p>
        </w:tc>
        <w:tc>
          <w:tcPr>
            <w:tcW w:w="3360" w:type="dxa"/>
            <w:vAlign w:val="bottom"/>
            <w:tcBorders>
              <w:top w:val="single" w:sz="8" w:color="auto"/>
              <w:bottom w:val="single" w:sz="8" w:color="F7A800"/>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89"/>
              </w:rPr>
              <w:t>900,000</w:t>
            </w:r>
          </w:p>
        </w:tc>
        <w:tc>
          <w:tcPr>
            <w:tcW w:w="3320" w:type="dxa"/>
            <w:vAlign w:val="bottom"/>
            <w:tcBorders>
              <w:top w:val="single" w:sz="8" w:color="auto"/>
              <w:bottom w:val="single" w:sz="8" w:color="F7A800"/>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89"/>
              </w:rPr>
              <w:t>1,600,000</w:t>
            </w:r>
          </w:p>
        </w:tc>
      </w:tr>
      <w:tr>
        <w:trPr>
          <w:trHeight w:val="268"/>
        </w:trPr>
        <w:tc>
          <w:tcPr>
            <w:tcW w:w="460" w:type="dxa"/>
            <w:vAlign w:val="bottom"/>
            <w:tcBorders>
              <w:right w:val="single" w:sz="8" w:color="auto"/>
            </w:tcBorders>
          </w:tcPr>
          <w:p>
            <w:pPr>
              <w:spacing w:after="0"/>
              <w:rPr>
                <w:sz w:val="22"/>
                <w:szCs w:val="22"/>
                <w:color w:val="auto"/>
              </w:rPr>
            </w:pPr>
          </w:p>
        </w:tc>
        <w:tc>
          <w:tcPr>
            <w:tcW w:w="760" w:type="dxa"/>
            <w:vAlign w:val="bottom"/>
            <w:tcBorders>
              <w:top w:val="single" w:sz="8" w:color="auto"/>
              <w:bottom w:val="single" w:sz="8" w:color="F7A800"/>
            </w:tcBorders>
            <w:shd w:val="clear" w:color="auto" w:fill="F7A800"/>
          </w:tcPr>
          <w:p>
            <w:pPr>
              <w:spacing w:after="0"/>
              <w:rPr>
                <w:sz w:val="22"/>
                <w:szCs w:val="22"/>
                <w:color w:val="auto"/>
              </w:rPr>
            </w:pPr>
          </w:p>
        </w:tc>
        <w:tc>
          <w:tcPr>
            <w:tcW w:w="2680" w:type="dxa"/>
            <w:vAlign w:val="bottom"/>
            <w:tcBorders>
              <w:top w:val="single" w:sz="8" w:color="auto"/>
              <w:bottom w:val="single" w:sz="8" w:color="F7A800"/>
              <w:right w:val="single" w:sz="8" w:color="auto"/>
            </w:tcBorders>
            <w:shd w:val="clear" w:color="auto" w:fill="F7A800"/>
          </w:tcPr>
          <w:p>
            <w:pPr>
              <w:jc w:val="center"/>
              <w:ind w:right="553"/>
              <w:spacing w:after="0"/>
              <w:rPr>
                <w:sz w:val="20"/>
                <w:szCs w:val="20"/>
                <w:color w:val="auto"/>
              </w:rPr>
            </w:pPr>
            <w:r>
              <w:rPr>
                <w:rFonts w:ascii="Arial" w:cs="Arial" w:eastAsia="Arial" w:hAnsi="Arial"/>
                <w:sz w:val="18"/>
                <w:szCs w:val="18"/>
                <w:color w:val="auto"/>
                <w:w w:val="92"/>
              </w:rPr>
              <w:t>Anthony L. Carano(2)</w:t>
            </w:r>
          </w:p>
        </w:tc>
        <w:tc>
          <w:tcPr>
            <w:tcW w:w="3360" w:type="dxa"/>
            <w:vAlign w:val="bottom"/>
            <w:tcBorders>
              <w:top w:val="single" w:sz="8" w:color="auto"/>
              <w:bottom w:val="single" w:sz="8" w:color="F7A800"/>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89"/>
              </w:rPr>
              <w:t>700,000</w:t>
            </w:r>
          </w:p>
        </w:tc>
        <w:tc>
          <w:tcPr>
            <w:tcW w:w="3320" w:type="dxa"/>
            <w:vAlign w:val="bottom"/>
            <w:tcBorders>
              <w:top w:val="single" w:sz="8" w:color="auto"/>
              <w:bottom w:val="single" w:sz="8" w:color="F7A800"/>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89"/>
              </w:rPr>
              <w:t>1,000,000</w:t>
            </w:r>
          </w:p>
        </w:tc>
      </w:tr>
      <w:tr>
        <w:trPr>
          <w:trHeight w:val="268"/>
        </w:trPr>
        <w:tc>
          <w:tcPr>
            <w:tcW w:w="460" w:type="dxa"/>
            <w:vAlign w:val="bottom"/>
            <w:tcBorders>
              <w:right w:val="single" w:sz="8" w:color="auto"/>
            </w:tcBorders>
          </w:tcPr>
          <w:p>
            <w:pPr>
              <w:spacing w:after="0"/>
              <w:rPr>
                <w:sz w:val="22"/>
                <w:szCs w:val="22"/>
                <w:color w:val="auto"/>
              </w:rPr>
            </w:pPr>
          </w:p>
        </w:tc>
        <w:tc>
          <w:tcPr>
            <w:tcW w:w="760" w:type="dxa"/>
            <w:vAlign w:val="bottom"/>
            <w:tcBorders>
              <w:top w:val="single" w:sz="8" w:color="auto"/>
              <w:bottom w:val="single" w:sz="8" w:color="F7A800"/>
            </w:tcBorders>
            <w:shd w:val="clear" w:color="auto" w:fill="F7A800"/>
          </w:tcPr>
          <w:p>
            <w:pPr>
              <w:spacing w:after="0"/>
              <w:rPr>
                <w:sz w:val="22"/>
                <w:szCs w:val="22"/>
                <w:color w:val="auto"/>
              </w:rPr>
            </w:pPr>
          </w:p>
        </w:tc>
        <w:tc>
          <w:tcPr>
            <w:tcW w:w="2680" w:type="dxa"/>
            <w:vAlign w:val="bottom"/>
            <w:tcBorders>
              <w:top w:val="single" w:sz="8" w:color="auto"/>
              <w:bottom w:val="single" w:sz="8" w:color="F7A800"/>
              <w:right w:val="single" w:sz="8" w:color="auto"/>
            </w:tcBorders>
            <w:shd w:val="clear" w:color="auto" w:fill="F7A800"/>
          </w:tcPr>
          <w:p>
            <w:pPr>
              <w:jc w:val="center"/>
              <w:ind w:right="533"/>
              <w:spacing w:after="0"/>
              <w:rPr>
                <w:sz w:val="20"/>
                <w:szCs w:val="20"/>
                <w:color w:val="auto"/>
              </w:rPr>
            </w:pPr>
            <w:r>
              <w:rPr>
                <w:rFonts w:ascii="Arial" w:cs="Arial" w:eastAsia="Arial" w:hAnsi="Arial"/>
                <w:sz w:val="18"/>
                <w:szCs w:val="18"/>
                <w:color w:val="auto"/>
                <w:w w:val="90"/>
              </w:rPr>
              <w:t>Edmund L. Quatmann, Jr.</w:t>
            </w:r>
          </w:p>
        </w:tc>
        <w:tc>
          <w:tcPr>
            <w:tcW w:w="3360" w:type="dxa"/>
            <w:vAlign w:val="bottom"/>
            <w:tcBorders>
              <w:top w:val="single" w:sz="8" w:color="auto"/>
              <w:bottom w:val="single" w:sz="8" w:color="F7A800"/>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89"/>
              </w:rPr>
              <w:t>545,000</w:t>
            </w:r>
          </w:p>
        </w:tc>
        <w:tc>
          <w:tcPr>
            <w:tcW w:w="3320" w:type="dxa"/>
            <w:vAlign w:val="bottom"/>
            <w:tcBorders>
              <w:top w:val="single" w:sz="8" w:color="auto"/>
              <w:bottom w:val="single" w:sz="8" w:color="F7A800"/>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89"/>
              </w:rPr>
              <w:t>600,000</w:t>
            </w:r>
          </w:p>
        </w:tc>
      </w:tr>
      <w:tr>
        <w:trPr>
          <w:trHeight w:val="269"/>
        </w:trPr>
        <w:tc>
          <w:tcPr>
            <w:tcW w:w="460" w:type="dxa"/>
            <w:vAlign w:val="bottom"/>
            <w:tcBorders>
              <w:right w:val="single" w:sz="8" w:color="auto"/>
            </w:tcBorders>
          </w:tcPr>
          <w:p>
            <w:pPr>
              <w:spacing w:after="0"/>
              <w:rPr>
                <w:sz w:val="22"/>
                <w:szCs w:val="22"/>
                <w:color w:val="auto"/>
              </w:rPr>
            </w:pPr>
          </w:p>
        </w:tc>
        <w:tc>
          <w:tcPr>
            <w:tcW w:w="760" w:type="dxa"/>
            <w:vAlign w:val="bottom"/>
            <w:tcBorders>
              <w:top w:val="single" w:sz="8" w:color="auto"/>
              <w:bottom w:val="single" w:sz="8" w:color="F7A800"/>
            </w:tcBorders>
            <w:shd w:val="clear" w:color="auto" w:fill="F7A800"/>
          </w:tcPr>
          <w:p>
            <w:pPr>
              <w:spacing w:after="0"/>
              <w:rPr>
                <w:sz w:val="22"/>
                <w:szCs w:val="22"/>
                <w:color w:val="auto"/>
              </w:rPr>
            </w:pPr>
          </w:p>
        </w:tc>
        <w:tc>
          <w:tcPr>
            <w:tcW w:w="2680" w:type="dxa"/>
            <w:vAlign w:val="bottom"/>
            <w:tcBorders>
              <w:top w:val="single" w:sz="8" w:color="auto"/>
              <w:bottom w:val="single" w:sz="8" w:color="F7A800"/>
              <w:right w:val="single" w:sz="8" w:color="auto"/>
            </w:tcBorders>
            <w:shd w:val="clear" w:color="auto" w:fill="F7A800"/>
          </w:tcPr>
          <w:p>
            <w:pPr>
              <w:jc w:val="center"/>
              <w:ind w:right="553"/>
              <w:spacing w:after="0"/>
              <w:rPr>
                <w:sz w:val="20"/>
                <w:szCs w:val="20"/>
                <w:color w:val="auto"/>
              </w:rPr>
            </w:pPr>
            <w:r>
              <w:rPr>
                <w:rFonts w:ascii="Arial" w:cs="Arial" w:eastAsia="Arial" w:hAnsi="Arial"/>
                <w:sz w:val="18"/>
                <w:szCs w:val="18"/>
                <w:color w:val="auto"/>
                <w:w w:val="92"/>
              </w:rPr>
              <w:t>Bret Yunker(3)</w:t>
            </w:r>
          </w:p>
        </w:tc>
        <w:tc>
          <w:tcPr>
            <w:tcW w:w="3360" w:type="dxa"/>
            <w:vAlign w:val="bottom"/>
            <w:tcBorders>
              <w:top w:val="single" w:sz="8" w:color="auto"/>
              <w:bottom w:val="single" w:sz="8" w:color="F7A800"/>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99"/>
              </w:rPr>
              <w:t>N/A</w:t>
            </w:r>
          </w:p>
        </w:tc>
        <w:tc>
          <w:tcPr>
            <w:tcW w:w="3320" w:type="dxa"/>
            <w:vAlign w:val="bottom"/>
            <w:tcBorders>
              <w:top w:val="single" w:sz="8" w:color="auto"/>
              <w:bottom w:val="single" w:sz="8" w:color="F7A800"/>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89"/>
              </w:rPr>
              <w:t>750,000</w:t>
            </w:r>
          </w:p>
        </w:tc>
      </w:tr>
      <w:tr>
        <w:trPr>
          <w:trHeight w:val="128"/>
        </w:trPr>
        <w:tc>
          <w:tcPr>
            <w:tcW w:w="460" w:type="dxa"/>
            <w:vAlign w:val="bottom"/>
            <w:tcBorders>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2680" w:type="dxa"/>
            <w:vAlign w:val="bottom"/>
            <w:tcBorders>
              <w:top w:val="single" w:sz="8" w:color="auto"/>
            </w:tcBorders>
          </w:tcPr>
          <w:p>
            <w:pPr>
              <w:spacing w:after="0"/>
              <w:rPr>
                <w:sz w:val="11"/>
                <w:szCs w:val="11"/>
                <w:color w:val="auto"/>
              </w:rPr>
            </w:pPr>
          </w:p>
        </w:tc>
        <w:tc>
          <w:tcPr>
            <w:tcW w:w="3360" w:type="dxa"/>
            <w:vAlign w:val="bottom"/>
            <w:tcBorders>
              <w:top w:val="single" w:sz="8" w:color="auto"/>
            </w:tcBorders>
          </w:tcPr>
          <w:p>
            <w:pPr>
              <w:spacing w:after="0"/>
              <w:rPr>
                <w:sz w:val="11"/>
                <w:szCs w:val="11"/>
                <w:color w:val="auto"/>
              </w:rPr>
            </w:pPr>
          </w:p>
        </w:tc>
        <w:tc>
          <w:tcPr>
            <w:tcW w:w="3320" w:type="dxa"/>
            <w:vAlign w:val="bottom"/>
            <w:tcBorders>
              <w:top w:val="single" w:sz="8" w:color="auto"/>
            </w:tcBorders>
          </w:tcPr>
          <w:p>
            <w:pPr>
              <w:spacing w:after="0"/>
              <w:rPr>
                <w:sz w:val="11"/>
                <w:szCs w:val="11"/>
                <w:color w:val="auto"/>
              </w:rPr>
            </w:pPr>
          </w:p>
        </w:tc>
      </w:tr>
    </w:tbl>
    <w:p>
      <w:pPr>
        <w:spacing w:after="0" w:line="26" w:lineRule="exact"/>
        <w:rPr>
          <w:sz w:val="20"/>
          <w:szCs w:val="20"/>
          <w:color w:val="auto"/>
        </w:rPr>
      </w:pPr>
    </w:p>
    <w:p>
      <w:pPr>
        <w:ind w:left="540" w:hanging="424"/>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Gary L. Carano’s salary did not change upon his move to Executive Chairman of the Board.</w:t>
      </w:r>
    </w:p>
    <w:p>
      <w:pPr>
        <w:spacing w:after="0" w:line="23" w:lineRule="exact"/>
        <w:rPr>
          <w:rFonts w:ascii="Arial" w:cs="Arial" w:eastAsia="Arial" w:hAnsi="Arial"/>
          <w:sz w:val="18"/>
          <w:szCs w:val="18"/>
          <w:color w:val="auto"/>
        </w:rPr>
      </w:pPr>
    </w:p>
    <w:p>
      <w:pPr>
        <w:ind w:left="540" w:right="18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Increases account for substantial leadership promotions, resulting in increased authority and responsibilities and competitive total compensation market values vs. peer companies.</w:t>
      </w:r>
    </w:p>
    <w:p>
      <w:pPr>
        <w:ind w:left="540" w:hanging="424"/>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Yunker’s employment with us began on May 2, 2019, and his base salary for 2019 was pro-rated to his start date.</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Incentives (Cash-Based Bonus Plan)</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goals under our annual incentive plan are designed to be straight-forward in order to focus participants on clearly measurable metrics, balance corporate and property performance by individual participants, and implement the appropriate level of upside/downside reward potential.</w:t>
      </w:r>
    </w:p>
    <w:p>
      <w:pPr>
        <w:spacing w:after="0" w:line="146"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Under our annual incentive plan, our named executive officers have the opportunity to earn annual cash incentives based on the attainment of critical performance criteria. Performance targets are set annually at the start of the applicable fiscal year. Consistent with the review of Aon’s independent market data discussed in the Base Salary section above, the Compensation Committee approved the following changes to annual incentive target opportunities for 2019. The approved changes closed various competitive gaps for our NEOs caused by recent large acquisitions and significant promotions of Mr. Reeg and Mr. Anthony Carano.</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60" w:type="dxa"/>
            <w:vAlign w:val="bottom"/>
            <w:tcBorders>
              <w:right w:val="single" w:sz="8" w:color="auto"/>
            </w:tcBorders>
          </w:tcPr>
          <w:p>
            <w:pPr>
              <w:spacing w:after="0"/>
              <w:rPr>
                <w:sz w:val="13"/>
                <w:szCs w:val="13"/>
                <w:color w:val="auto"/>
              </w:rPr>
            </w:pPr>
          </w:p>
        </w:tc>
        <w:tc>
          <w:tcPr>
            <w:tcW w:w="760" w:type="dxa"/>
            <w:vAlign w:val="bottom"/>
            <w:tcBorders>
              <w:top w:val="single" w:sz="8" w:color="auto"/>
            </w:tcBorders>
            <w:shd w:val="clear" w:color="auto" w:fill="F7A800"/>
          </w:tcPr>
          <w:p>
            <w:pPr>
              <w:spacing w:after="0"/>
              <w:rPr>
                <w:sz w:val="13"/>
                <w:szCs w:val="13"/>
                <w:color w:val="auto"/>
              </w:rPr>
            </w:pPr>
          </w:p>
        </w:tc>
        <w:tc>
          <w:tcPr>
            <w:tcW w:w="2880" w:type="dxa"/>
            <w:vAlign w:val="bottom"/>
            <w:tcBorders>
              <w:top w:val="single" w:sz="8" w:color="auto"/>
              <w:right w:val="single" w:sz="8" w:color="auto"/>
            </w:tcBorders>
            <w:shd w:val="clear" w:color="auto" w:fill="F7A800"/>
          </w:tcPr>
          <w:p>
            <w:pPr>
              <w:spacing w:after="0"/>
              <w:rPr>
                <w:sz w:val="13"/>
                <w:szCs w:val="13"/>
                <w:color w:val="auto"/>
              </w:rPr>
            </w:pPr>
          </w:p>
        </w:tc>
        <w:tc>
          <w:tcPr>
            <w:tcW w:w="3240" w:type="dxa"/>
            <w:vAlign w:val="bottom"/>
            <w:tcBorders>
              <w:top w:val="single" w:sz="8" w:color="auto"/>
              <w:right w:val="single" w:sz="8" w:color="auto"/>
            </w:tcBorders>
            <w:shd w:val="clear" w:color="auto" w:fill="F7A800"/>
          </w:tcPr>
          <w:p>
            <w:pPr>
              <w:jc w:val="center"/>
              <w:ind w:left="17"/>
              <w:spacing w:after="0" w:line="153" w:lineRule="exact"/>
              <w:rPr>
                <w:sz w:val="20"/>
                <w:szCs w:val="20"/>
                <w:color w:val="auto"/>
              </w:rPr>
            </w:pPr>
            <w:r>
              <w:rPr>
                <w:rFonts w:ascii="Arial" w:cs="Arial" w:eastAsia="Arial" w:hAnsi="Arial"/>
                <w:sz w:val="14"/>
                <w:szCs w:val="14"/>
                <w:b w:val="1"/>
                <w:bCs w:val="1"/>
                <w:color w:val="auto"/>
                <w:w w:val="93"/>
              </w:rPr>
              <w:t>2018 Target Annual Incentive</w:t>
            </w:r>
          </w:p>
        </w:tc>
        <w:tc>
          <w:tcPr>
            <w:tcW w:w="3240" w:type="dxa"/>
            <w:vAlign w:val="bottom"/>
            <w:tcBorders>
              <w:top w:val="single" w:sz="8" w:color="auto"/>
              <w:right w:val="single" w:sz="8" w:color="auto"/>
            </w:tcBorders>
            <w:shd w:val="clear" w:color="auto" w:fill="F7A800"/>
          </w:tcPr>
          <w:p>
            <w:pPr>
              <w:jc w:val="center"/>
              <w:ind w:left="57"/>
              <w:spacing w:after="0" w:line="153" w:lineRule="exact"/>
              <w:rPr>
                <w:sz w:val="20"/>
                <w:szCs w:val="20"/>
                <w:color w:val="auto"/>
              </w:rPr>
            </w:pPr>
            <w:r>
              <w:rPr>
                <w:rFonts w:ascii="Arial" w:cs="Arial" w:eastAsia="Arial" w:hAnsi="Arial"/>
                <w:sz w:val="14"/>
                <w:szCs w:val="14"/>
                <w:b w:val="1"/>
                <w:bCs w:val="1"/>
                <w:color w:val="auto"/>
                <w:w w:val="93"/>
              </w:rPr>
              <w:t>2019 Target Annual Incentive</w:t>
            </w:r>
          </w:p>
        </w:tc>
        <w:tc>
          <w:tcPr>
            <w:tcW w:w="0" w:type="dxa"/>
            <w:vAlign w:val="bottom"/>
          </w:tcPr>
          <w:p>
            <w:pPr>
              <w:spacing w:after="0"/>
              <w:rPr>
                <w:sz w:val="1"/>
                <w:szCs w:val="1"/>
                <w:color w:val="auto"/>
              </w:rPr>
            </w:pPr>
          </w:p>
        </w:tc>
      </w:tr>
      <w:tr>
        <w:trPr>
          <w:trHeight w:val="148"/>
        </w:trPr>
        <w:tc>
          <w:tcPr>
            <w:tcW w:w="460" w:type="dxa"/>
            <w:vAlign w:val="bottom"/>
            <w:tcBorders>
              <w:right w:val="single" w:sz="8" w:color="auto"/>
            </w:tcBorders>
          </w:tcPr>
          <w:p>
            <w:pPr>
              <w:spacing w:after="0"/>
              <w:rPr>
                <w:sz w:val="12"/>
                <w:szCs w:val="12"/>
                <w:color w:val="auto"/>
              </w:rPr>
            </w:pPr>
          </w:p>
        </w:tc>
        <w:tc>
          <w:tcPr>
            <w:tcW w:w="760" w:type="dxa"/>
            <w:vAlign w:val="bottom"/>
            <w:shd w:val="clear" w:color="auto" w:fill="F7A800"/>
          </w:tcPr>
          <w:p>
            <w:pPr>
              <w:spacing w:after="0"/>
              <w:rPr>
                <w:sz w:val="12"/>
                <w:szCs w:val="12"/>
                <w:color w:val="auto"/>
              </w:rPr>
            </w:pPr>
          </w:p>
        </w:tc>
        <w:tc>
          <w:tcPr>
            <w:tcW w:w="2880" w:type="dxa"/>
            <w:vAlign w:val="bottom"/>
            <w:tcBorders>
              <w:right w:val="single" w:sz="8" w:color="auto"/>
            </w:tcBorders>
            <w:vMerge w:val="restart"/>
            <w:shd w:val="clear" w:color="auto" w:fill="F7A800"/>
          </w:tcPr>
          <w:p>
            <w:pPr>
              <w:jc w:val="center"/>
              <w:ind w:right="553"/>
              <w:spacing w:after="0"/>
              <w:rPr>
                <w:sz w:val="20"/>
                <w:szCs w:val="20"/>
                <w:color w:val="auto"/>
              </w:rPr>
            </w:pPr>
            <w:r>
              <w:rPr>
                <w:rFonts w:ascii="Arial" w:cs="Arial" w:eastAsia="Arial" w:hAnsi="Arial"/>
                <w:sz w:val="14"/>
                <w:szCs w:val="14"/>
                <w:b w:val="1"/>
                <w:bCs w:val="1"/>
                <w:color w:val="auto"/>
                <w:w w:val="93"/>
              </w:rPr>
              <w:t>Executive Name</w:t>
            </w:r>
          </w:p>
        </w:tc>
        <w:tc>
          <w:tcPr>
            <w:tcW w:w="3240" w:type="dxa"/>
            <w:vAlign w:val="bottom"/>
            <w:tcBorders>
              <w:right w:val="single" w:sz="8" w:color="auto"/>
            </w:tcBorders>
            <w:shd w:val="clear" w:color="auto" w:fill="F7A800"/>
          </w:tcPr>
          <w:p>
            <w:pPr>
              <w:jc w:val="center"/>
              <w:spacing w:after="0" w:line="149" w:lineRule="exact"/>
              <w:rPr>
                <w:sz w:val="20"/>
                <w:szCs w:val="20"/>
                <w:color w:val="auto"/>
              </w:rPr>
            </w:pPr>
            <w:r>
              <w:rPr>
                <w:rFonts w:ascii="Arial" w:cs="Arial" w:eastAsia="Arial" w:hAnsi="Arial"/>
                <w:sz w:val="14"/>
                <w:szCs w:val="14"/>
                <w:b w:val="1"/>
                <w:bCs w:val="1"/>
                <w:color w:val="auto"/>
                <w:w w:val="90"/>
              </w:rPr>
              <w:t>Opportunity as Percentage of Base</w:t>
            </w:r>
          </w:p>
        </w:tc>
        <w:tc>
          <w:tcPr>
            <w:tcW w:w="3240" w:type="dxa"/>
            <w:vAlign w:val="bottom"/>
            <w:tcBorders>
              <w:right w:val="single" w:sz="8" w:color="auto"/>
            </w:tcBorders>
            <w:shd w:val="clear" w:color="auto" w:fill="F7A800"/>
          </w:tcPr>
          <w:p>
            <w:pPr>
              <w:jc w:val="center"/>
              <w:ind w:left="57"/>
              <w:spacing w:after="0" w:line="149" w:lineRule="exact"/>
              <w:rPr>
                <w:sz w:val="20"/>
                <w:szCs w:val="20"/>
                <w:color w:val="auto"/>
              </w:rPr>
            </w:pPr>
            <w:r>
              <w:rPr>
                <w:rFonts w:ascii="Arial" w:cs="Arial" w:eastAsia="Arial" w:hAnsi="Arial"/>
                <w:sz w:val="14"/>
                <w:szCs w:val="14"/>
                <w:b w:val="1"/>
                <w:bCs w:val="1"/>
                <w:color w:val="auto"/>
                <w:w w:val="91"/>
              </w:rPr>
              <w:t>Opportunity as Percentage of Base</w:t>
            </w:r>
          </w:p>
        </w:tc>
        <w:tc>
          <w:tcPr>
            <w:tcW w:w="0" w:type="dxa"/>
            <w:vAlign w:val="bottom"/>
          </w:tcPr>
          <w:p>
            <w:pPr>
              <w:spacing w:after="0"/>
              <w:rPr>
                <w:sz w:val="1"/>
                <w:szCs w:val="1"/>
                <w:color w:val="auto"/>
              </w:rPr>
            </w:pPr>
          </w:p>
        </w:tc>
      </w:tr>
      <w:tr>
        <w:trPr>
          <w:trHeight w:val="192"/>
        </w:trPr>
        <w:tc>
          <w:tcPr>
            <w:tcW w:w="460" w:type="dxa"/>
            <w:vAlign w:val="bottom"/>
            <w:tcBorders>
              <w:right w:val="single" w:sz="8" w:color="auto"/>
            </w:tcBorders>
          </w:tcPr>
          <w:p>
            <w:pPr>
              <w:spacing w:after="0"/>
              <w:rPr>
                <w:sz w:val="16"/>
                <w:szCs w:val="16"/>
                <w:color w:val="auto"/>
              </w:rPr>
            </w:pPr>
          </w:p>
        </w:tc>
        <w:tc>
          <w:tcPr>
            <w:tcW w:w="760" w:type="dxa"/>
            <w:vAlign w:val="bottom"/>
            <w:tcBorders>
              <w:bottom w:val="single" w:sz="8" w:color="auto"/>
            </w:tcBorders>
            <w:shd w:val="clear" w:color="auto" w:fill="F7A800"/>
          </w:tcPr>
          <w:p>
            <w:pPr>
              <w:spacing w:after="0"/>
              <w:rPr>
                <w:sz w:val="16"/>
                <w:szCs w:val="16"/>
                <w:color w:val="auto"/>
              </w:rPr>
            </w:pPr>
          </w:p>
        </w:tc>
        <w:tc>
          <w:tcPr>
            <w:tcW w:w="2880" w:type="dxa"/>
            <w:vAlign w:val="bottom"/>
            <w:tcBorders>
              <w:bottom w:val="single" w:sz="8" w:color="auto"/>
              <w:right w:val="single" w:sz="8" w:color="auto"/>
            </w:tcBorders>
            <w:vMerge w:val="continue"/>
            <w:shd w:val="clear" w:color="auto" w:fill="F7A800"/>
          </w:tcPr>
          <w:p>
            <w:pPr>
              <w:spacing w:after="0"/>
              <w:rPr>
                <w:sz w:val="16"/>
                <w:szCs w:val="16"/>
                <w:color w:val="auto"/>
              </w:rPr>
            </w:pPr>
          </w:p>
        </w:tc>
        <w:tc>
          <w:tcPr>
            <w:tcW w:w="324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4"/>
                <w:szCs w:val="14"/>
                <w:b w:val="1"/>
                <w:bCs w:val="1"/>
                <w:color w:val="auto"/>
                <w:w w:val="95"/>
              </w:rPr>
              <w:t>Salary</w:t>
            </w:r>
          </w:p>
        </w:tc>
        <w:tc>
          <w:tcPr>
            <w:tcW w:w="3240" w:type="dxa"/>
            <w:vAlign w:val="bottom"/>
            <w:tcBorders>
              <w:bottom w:val="single" w:sz="8" w:color="auto"/>
              <w:right w:val="single" w:sz="8" w:color="auto"/>
            </w:tcBorders>
            <w:shd w:val="clear" w:color="auto" w:fill="F7A800"/>
          </w:tcPr>
          <w:p>
            <w:pPr>
              <w:jc w:val="center"/>
              <w:ind w:left="57"/>
              <w:spacing w:after="0"/>
              <w:rPr>
                <w:sz w:val="20"/>
                <w:szCs w:val="20"/>
                <w:color w:val="auto"/>
              </w:rPr>
            </w:pPr>
            <w:r>
              <w:rPr>
                <w:rFonts w:ascii="Arial" w:cs="Arial" w:eastAsia="Arial" w:hAnsi="Arial"/>
                <w:sz w:val="14"/>
                <w:szCs w:val="14"/>
                <w:b w:val="1"/>
                <w:bCs w:val="1"/>
                <w:color w:val="auto"/>
                <w:w w:val="90"/>
              </w:rPr>
              <w:t>Salary</w:t>
            </w:r>
          </w:p>
        </w:tc>
        <w:tc>
          <w:tcPr>
            <w:tcW w:w="0" w:type="dxa"/>
            <w:vAlign w:val="bottom"/>
          </w:tcPr>
          <w:p>
            <w:pPr>
              <w:spacing w:after="0"/>
              <w:rPr>
                <w:sz w:val="1"/>
                <w:szCs w:val="1"/>
                <w:color w:val="auto"/>
              </w:rPr>
            </w:pPr>
          </w:p>
        </w:tc>
      </w:tr>
      <w:tr>
        <w:trPr>
          <w:trHeight w:val="275"/>
        </w:trPr>
        <w:tc>
          <w:tcPr>
            <w:tcW w:w="460" w:type="dxa"/>
            <w:vAlign w:val="bottom"/>
            <w:tcBorders>
              <w:right w:val="single" w:sz="8" w:color="auto"/>
            </w:tcBorders>
          </w:tcPr>
          <w:p>
            <w:pPr>
              <w:spacing w:after="0"/>
              <w:rPr>
                <w:sz w:val="23"/>
                <w:szCs w:val="23"/>
                <w:color w:val="auto"/>
              </w:rPr>
            </w:pPr>
          </w:p>
        </w:tc>
        <w:tc>
          <w:tcPr>
            <w:tcW w:w="760" w:type="dxa"/>
            <w:vAlign w:val="bottom"/>
            <w:tcBorders>
              <w:bottom w:val="single" w:sz="8" w:color="F7A800"/>
            </w:tcBorders>
            <w:shd w:val="clear" w:color="auto" w:fill="F7A800"/>
          </w:tcPr>
          <w:p>
            <w:pPr>
              <w:spacing w:after="0"/>
              <w:rPr>
                <w:sz w:val="23"/>
                <w:szCs w:val="23"/>
                <w:color w:val="auto"/>
              </w:rPr>
            </w:pPr>
          </w:p>
        </w:tc>
        <w:tc>
          <w:tcPr>
            <w:tcW w:w="2880" w:type="dxa"/>
            <w:vAlign w:val="bottom"/>
            <w:tcBorders>
              <w:bottom w:val="single" w:sz="8" w:color="F7A800"/>
              <w:right w:val="single" w:sz="8" w:color="auto"/>
            </w:tcBorders>
            <w:shd w:val="clear" w:color="auto" w:fill="F7A800"/>
          </w:tcPr>
          <w:p>
            <w:pPr>
              <w:jc w:val="center"/>
              <w:ind w:right="553"/>
              <w:spacing w:after="0"/>
              <w:rPr>
                <w:sz w:val="20"/>
                <w:szCs w:val="20"/>
                <w:color w:val="auto"/>
              </w:rPr>
            </w:pPr>
            <w:r>
              <w:rPr>
                <w:rFonts w:ascii="Arial" w:cs="Arial" w:eastAsia="Arial" w:hAnsi="Arial"/>
                <w:sz w:val="18"/>
                <w:szCs w:val="18"/>
                <w:color w:val="auto"/>
                <w:w w:val="90"/>
              </w:rPr>
              <w:t>Gary L. Carano(1)</w:t>
            </w:r>
          </w:p>
        </w:tc>
        <w:tc>
          <w:tcPr>
            <w:tcW w:w="3240" w:type="dxa"/>
            <w:vAlign w:val="bottom"/>
            <w:tcBorders>
              <w:bottom w:val="single" w:sz="8" w:color="F7A800"/>
              <w:right w:val="single" w:sz="8" w:color="auto"/>
            </w:tcBorders>
            <w:shd w:val="clear" w:color="auto" w:fill="F7A800"/>
          </w:tcPr>
          <w:p>
            <w:pPr>
              <w:jc w:val="center"/>
              <w:ind w:left="17"/>
              <w:spacing w:after="0"/>
              <w:rPr>
                <w:sz w:val="20"/>
                <w:szCs w:val="20"/>
                <w:color w:val="auto"/>
              </w:rPr>
            </w:pPr>
            <w:r>
              <w:rPr>
                <w:rFonts w:ascii="Arial" w:cs="Arial" w:eastAsia="Arial" w:hAnsi="Arial"/>
                <w:sz w:val="18"/>
                <w:szCs w:val="18"/>
                <w:color w:val="auto"/>
                <w:w w:val="91"/>
              </w:rPr>
              <w:t>125%</w:t>
            </w:r>
          </w:p>
        </w:tc>
        <w:tc>
          <w:tcPr>
            <w:tcW w:w="3240" w:type="dxa"/>
            <w:vAlign w:val="bottom"/>
            <w:tcBorders>
              <w:bottom w:val="single" w:sz="8" w:color="F7A800"/>
              <w:right w:val="single" w:sz="8" w:color="auto"/>
            </w:tcBorders>
            <w:shd w:val="clear" w:color="auto" w:fill="F7A800"/>
          </w:tcPr>
          <w:p>
            <w:pPr>
              <w:jc w:val="center"/>
              <w:ind w:left="57"/>
              <w:spacing w:after="0"/>
              <w:rPr>
                <w:sz w:val="20"/>
                <w:szCs w:val="20"/>
                <w:color w:val="auto"/>
              </w:rPr>
            </w:pPr>
            <w:r>
              <w:rPr>
                <w:rFonts w:ascii="Arial" w:cs="Arial" w:eastAsia="Arial" w:hAnsi="Arial"/>
                <w:sz w:val="18"/>
                <w:szCs w:val="18"/>
                <w:color w:val="auto"/>
                <w:w w:val="91"/>
              </w:rPr>
              <w:t>125%</w:t>
            </w:r>
          </w:p>
        </w:tc>
        <w:tc>
          <w:tcPr>
            <w:tcW w:w="0" w:type="dxa"/>
            <w:vAlign w:val="bottom"/>
          </w:tcPr>
          <w:p>
            <w:pPr>
              <w:spacing w:after="0"/>
              <w:rPr>
                <w:sz w:val="1"/>
                <w:szCs w:val="1"/>
                <w:color w:val="auto"/>
              </w:rPr>
            </w:pPr>
          </w:p>
        </w:tc>
      </w:tr>
      <w:tr>
        <w:trPr>
          <w:trHeight w:val="268"/>
        </w:trPr>
        <w:tc>
          <w:tcPr>
            <w:tcW w:w="460" w:type="dxa"/>
            <w:vAlign w:val="bottom"/>
            <w:tcBorders>
              <w:right w:val="single" w:sz="8" w:color="auto"/>
            </w:tcBorders>
          </w:tcPr>
          <w:p>
            <w:pPr>
              <w:spacing w:after="0"/>
              <w:rPr>
                <w:sz w:val="22"/>
                <w:szCs w:val="22"/>
                <w:color w:val="auto"/>
              </w:rPr>
            </w:pPr>
          </w:p>
        </w:tc>
        <w:tc>
          <w:tcPr>
            <w:tcW w:w="760" w:type="dxa"/>
            <w:vAlign w:val="bottom"/>
            <w:tcBorders>
              <w:top w:val="single" w:sz="8" w:color="auto"/>
              <w:bottom w:val="single" w:sz="8" w:color="F7A800"/>
            </w:tcBorders>
            <w:shd w:val="clear" w:color="auto" w:fill="F7A800"/>
          </w:tcPr>
          <w:p>
            <w:pPr>
              <w:spacing w:after="0"/>
              <w:rPr>
                <w:sz w:val="22"/>
                <w:szCs w:val="22"/>
                <w:color w:val="auto"/>
              </w:rPr>
            </w:pPr>
          </w:p>
        </w:tc>
        <w:tc>
          <w:tcPr>
            <w:tcW w:w="2880" w:type="dxa"/>
            <w:vAlign w:val="bottom"/>
            <w:tcBorders>
              <w:top w:val="single" w:sz="8" w:color="auto"/>
              <w:bottom w:val="single" w:sz="8" w:color="F7A800"/>
              <w:right w:val="single" w:sz="8" w:color="auto"/>
            </w:tcBorders>
            <w:shd w:val="clear" w:color="auto" w:fill="F7A800"/>
          </w:tcPr>
          <w:p>
            <w:pPr>
              <w:jc w:val="center"/>
              <w:ind w:right="553"/>
              <w:spacing w:after="0"/>
              <w:rPr>
                <w:sz w:val="20"/>
                <w:szCs w:val="20"/>
                <w:color w:val="auto"/>
              </w:rPr>
            </w:pPr>
            <w:r>
              <w:rPr>
                <w:rFonts w:ascii="Arial" w:cs="Arial" w:eastAsia="Arial" w:hAnsi="Arial"/>
                <w:sz w:val="18"/>
                <w:szCs w:val="18"/>
                <w:color w:val="auto"/>
                <w:w w:val="88"/>
              </w:rPr>
              <w:t>Thomas R. Reeg</w:t>
            </w:r>
          </w:p>
        </w:tc>
        <w:tc>
          <w:tcPr>
            <w:tcW w:w="3240" w:type="dxa"/>
            <w:vAlign w:val="bottom"/>
            <w:tcBorders>
              <w:top w:val="single" w:sz="8" w:color="auto"/>
              <w:bottom w:val="single" w:sz="8" w:color="F7A800"/>
              <w:right w:val="single" w:sz="8" w:color="auto"/>
            </w:tcBorders>
            <w:shd w:val="clear" w:color="auto" w:fill="F7A800"/>
          </w:tcPr>
          <w:p>
            <w:pPr>
              <w:jc w:val="center"/>
              <w:ind w:left="17"/>
              <w:spacing w:after="0"/>
              <w:rPr>
                <w:sz w:val="20"/>
                <w:szCs w:val="20"/>
                <w:color w:val="auto"/>
              </w:rPr>
            </w:pPr>
            <w:r>
              <w:rPr>
                <w:rFonts w:ascii="Arial" w:cs="Arial" w:eastAsia="Arial" w:hAnsi="Arial"/>
                <w:sz w:val="18"/>
                <w:szCs w:val="18"/>
                <w:color w:val="auto"/>
                <w:w w:val="91"/>
              </w:rPr>
              <w:t>100%</w:t>
            </w:r>
          </w:p>
        </w:tc>
        <w:tc>
          <w:tcPr>
            <w:tcW w:w="3240" w:type="dxa"/>
            <w:vAlign w:val="bottom"/>
            <w:tcBorders>
              <w:top w:val="single" w:sz="8" w:color="auto"/>
              <w:bottom w:val="single" w:sz="8" w:color="F7A800"/>
              <w:right w:val="single" w:sz="8" w:color="auto"/>
            </w:tcBorders>
            <w:shd w:val="clear" w:color="auto" w:fill="F7A800"/>
          </w:tcPr>
          <w:p>
            <w:pPr>
              <w:jc w:val="center"/>
              <w:ind w:left="57"/>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269"/>
        </w:trPr>
        <w:tc>
          <w:tcPr>
            <w:tcW w:w="460" w:type="dxa"/>
            <w:vAlign w:val="bottom"/>
            <w:tcBorders>
              <w:right w:val="single" w:sz="8" w:color="auto"/>
            </w:tcBorders>
          </w:tcPr>
          <w:p>
            <w:pPr>
              <w:spacing w:after="0"/>
              <w:rPr>
                <w:sz w:val="22"/>
                <w:szCs w:val="22"/>
                <w:color w:val="auto"/>
              </w:rPr>
            </w:pPr>
          </w:p>
        </w:tc>
        <w:tc>
          <w:tcPr>
            <w:tcW w:w="760" w:type="dxa"/>
            <w:vAlign w:val="bottom"/>
            <w:tcBorders>
              <w:top w:val="single" w:sz="8" w:color="auto"/>
              <w:bottom w:val="single" w:sz="8" w:color="F7A800"/>
            </w:tcBorders>
            <w:shd w:val="clear" w:color="auto" w:fill="F7A800"/>
          </w:tcPr>
          <w:p>
            <w:pPr>
              <w:spacing w:after="0"/>
              <w:rPr>
                <w:sz w:val="22"/>
                <w:szCs w:val="22"/>
                <w:color w:val="auto"/>
              </w:rPr>
            </w:pPr>
          </w:p>
        </w:tc>
        <w:tc>
          <w:tcPr>
            <w:tcW w:w="2880" w:type="dxa"/>
            <w:vAlign w:val="bottom"/>
            <w:tcBorders>
              <w:top w:val="single" w:sz="8" w:color="auto"/>
              <w:bottom w:val="single" w:sz="8" w:color="F7A800"/>
              <w:right w:val="single" w:sz="8" w:color="auto"/>
            </w:tcBorders>
            <w:shd w:val="clear" w:color="auto" w:fill="F7A800"/>
          </w:tcPr>
          <w:p>
            <w:pPr>
              <w:jc w:val="center"/>
              <w:ind w:right="553"/>
              <w:spacing w:after="0"/>
              <w:rPr>
                <w:sz w:val="20"/>
                <w:szCs w:val="20"/>
                <w:color w:val="auto"/>
              </w:rPr>
            </w:pPr>
            <w:r>
              <w:rPr>
                <w:rFonts w:ascii="Arial" w:cs="Arial" w:eastAsia="Arial" w:hAnsi="Arial"/>
                <w:sz w:val="18"/>
                <w:szCs w:val="18"/>
                <w:color w:val="auto"/>
                <w:w w:val="93"/>
              </w:rPr>
              <w:t>Anthony L. Carano</w:t>
            </w:r>
          </w:p>
        </w:tc>
        <w:tc>
          <w:tcPr>
            <w:tcW w:w="3240" w:type="dxa"/>
            <w:vAlign w:val="bottom"/>
            <w:tcBorders>
              <w:top w:val="single" w:sz="8" w:color="auto"/>
              <w:bottom w:val="single" w:sz="8" w:color="F7A800"/>
              <w:right w:val="single" w:sz="8" w:color="auto"/>
            </w:tcBorders>
            <w:shd w:val="clear" w:color="auto" w:fill="F7A800"/>
          </w:tcPr>
          <w:p>
            <w:pPr>
              <w:jc w:val="center"/>
              <w:ind w:left="17"/>
              <w:spacing w:after="0"/>
              <w:rPr>
                <w:sz w:val="20"/>
                <w:szCs w:val="20"/>
                <w:color w:val="auto"/>
              </w:rPr>
            </w:pPr>
            <w:r>
              <w:rPr>
                <w:rFonts w:ascii="Arial" w:cs="Arial" w:eastAsia="Arial" w:hAnsi="Arial"/>
                <w:sz w:val="18"/>
                <w:szCs w:val="18"/>
                <w:color w:val="auto"/>
                <w:w w:val="91"/>
              </w:rPr>
              <w:t>100%</w:t>
            </w:r>
          </w:p>
        </w:tc>
        <w:tc>
          <w:tcPr>
            <w:tcW w:w="3240" w:type="dxa"/>
            <w:vAlign w:val="bottom"/>
            <w:tcBorders>
              <w:top w:val="single" w:sz="8" w:color="auto"/>
              <w:bottom w:val="single" w:sz="8" w:color="F7A800"/>
              <w:right w:val="single" w:sz="8" w:color="auto"/>
            </w:tcBorders>
            <w:shd w:val="clear" w:color="auto" w:fill="F7A800"/>
          </w:tcPr>
          <w:p>
            <w:pPr>
              <w:jc w:val="center"/>
              <w:ind w:left="57"/>
              <w:spacing w:after="0"/>
              <w:rPr>
                <w:sz w:val="20"/>
                <w:szCs w:val="20"/>
                <w:color w:val="auto"/>
              </w:rPr>
            </w:pPr>
            <w:r>
              <w:rPr>
                <w:rFonts w:ascii="Arial" w:cs="Arial" w:eastAsia="Arial" w:hAnsi="Arial"/>
                <w:sz w:val="18"/>
                <w:szCs w:val="18"/>
                <w:color w:val="auto"/>
                <w:w w:val="91"/>
              </w:rPr>
              <w:t>125%</w:t>
            </w:r>
          </w:p>
        </w:tc>
        <w:tc>
          <w:tcPr>
            <w:tcW w:w="0" w:type="dxa"/>
            <w:vAlign w:val="bottom"/>
          </w:tcPr>
          <w:p>
            <w:pPr>
              <w:spacing w:after="0"/>
              <w:rPr>
                <w:sz w:val="1"/>
                <w:szCs w:val="1"/>
                <w:color w:val="auto"/>
              </w:rPr>
            </w:pPr>
          </w:p>
        </w:tc>
      </w:tr>
      <w:tr>
        <w:trPr>
          <w:trHeight w:val="268"/>
        </w:trPr>
        <w:tc>
          <w:tcPr>
            <w:tcW w:w="460" w:type="dxa"/>
            <w:vAlign w:val="bottom"/>
            <w:tcBorders>
              <w:right w:val="single" w:sz="8" w:color="auto"/>
            </w:tcBorders>
          </w:tcPr>
          <w:p>
            <w:pPr>
              <w:spacing w:after="0"/>
              <w:rPr>
                <w:sz w:val="22"/>
                <w:szCs w:val="22"/>
                <w:color w:val="auto"/>
              </w:rPr>
            </w:pPr>
          </w:p>
        </w:tc>
        <w:tc>
          <w:tcPr>
            <w:tcW w:w="760" w:type="dxa"/>
            <w:vAlign w:val="bottom"/>
            <w:tcBorders>
              <w:top w:val="single" w:sz="8" w:color="auto"/>
              <w:bottom w:val="single" w:sz="8" w:color="F7A800"/>
            </w:tcBorders>
            <w:shd w:val="clear" w:color="auto" w:fill="F7A800"/>
          </w:tcPr>
          <w:p>
            <w:pPr>
              <w:spacing w:after="0"/>
              <w:rPr>
                <w:sz w:val="22"/>
                <w:szCs w:val="22"/>
                <w:color w:val="auto"/>
              </w:rPr>
            </w:pPr>
          </w:p>
        </w:tc>
        <w:tc>
          <w:tcPr>
            <w:tcW w:w="2880" w:type="dxa"/>
            <w:vAlign w:val="bottom"/>
            <w:tcBorders>
              <w:top w:val="single" w:sz="8" w:color="auto"/>
              <w:bottom w:val="single" w:sz="8" w:color="F7A800"/>
              <w:right w:val="single" w:sz="8" w:color="auto"/>
            </w:tcBorders>
            <w:shd w:val="clear" w:color="auto" w:fill="F7A800"/>
          </w:tcPr>
          <w:p>
            <w:pPr>
              <w:jc w:val="center"/>
              <w:ind w:right="533"/>
              <w:spacing w:after="0"/>
              <w:rPr>
                <w:sz w:val="20"/>
                <w:szCs w:val="20"/>
                <w:color w:val="auto"/>
              </w:rPr>
            </w:pPr>
            <w:r>
              <w:rPr>
                <w:rFonts w:ascii="Arial" w:cs="Arial" w:eastAsia="Arial" w:hAnsi="Arial"/>
                <w:sz w:val="18"/>
                <w:szCs w:val="18"/>
                <w:color w:val="auto"/>
                <w:w w:val="90"/>
              </w:rPr>
              <w:t>Edmund L. Quatmann, Jr.</w:t>
            </w:r>
          </w:p>
        </w:tc>
        <w:tc>
          <w:tcPr>
            <w:tcW w:w="3240" w:type="dxa"/>
            <w:vAlign w:val="bottom"/>
            <w:tcBorders>
              <w:top w:val="single" w:sz="8" w:color="auto"/>
              <w:bottom w:val="single" w:sz="8" w:color="F7A800"/>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88"/>
              </w:rPr>
              <w:t>50%</w:t>
            </w:r>
          </w:p>
        </w:tc>
        <w:tc>
          <w:tcPr>
            <w:tcW w:w="3240" w:type="dxa"/>
            <w:vAlign w:val="bottom"/>
            <w:tcBorders>
              <w:top w:val="single" w:sz="8" w:color="auto"/>
              <w:bottom w:val="single" w:sz="8" w:color="F7A800"/>
              <w:right w:val="single" w:sz="8" w:color="auto"/>
            </w:tcBorders>
            <w:shd w:val="clear" w:color="auto" w:fill="F7A800"/>
          </w:tcPr>
          <w:p>
            <w:pPr>
              <w:jc w:val="center"/>
              <w:ind w:left="57"/>
              <w:spacing w:after="0"/>
              <w:rPr>
                <w:sz w:val="20"/>
                <w:szCs w:val="20"/>
                <w:color w:val="auto"/>
              </w:rPr>
            </w:pPr>
            <w:r>
              <w:rPr>
                <w:rFonts w:ascii="Arial" w:cs="Arial" w:eastAsia="Arial" w:hAnsi="Arial"/>
                <w:sz w:val="18"/>
                <w:szCs w:val="18"/>
                <w:color w:val="auto"/>
                <w:w w:val="94"/>
              </w:rPr>
              <w:t>75%</w:t>
            </w:r>
          </w:p>
        </w:tc>
        <w:tc>
          <w:tcPr>
            <w:tcW w:w="0" w:type="dxa"/>
            <w:vAlign w:val="bottom"/>
          </w:tcPr>
          <w:p>
            <w:pPr>
              <w:spacing w:after="0"/>
              <w:rPr>
                <w:sz w:val="1"/>
                <w:szCs w:val="1"/>
                <w:color w:val="auto"/>
              </w:rPr>
            </w:pPr>
          </w:p>
        </w:tc>
      </w:tr>
      <w:tr>
        <w:trPr>
          <w:trHeight w:val="268"/>
        </w:trPr>
        <w:tc>
          <w:tcPr>
            <w:tcW w:w="460" w:type="dxa"/>
            <w:vAlign w:val="bottom"/>
            <w:tcBorders>
              <w:right w:val="single" w:sz="8" w:color="auto"/>
            </w:tcBorders>
          </w:tcPr>
          <w:p>
            <w:pPr>
              <w:spacing w:after="0"/>
              <w:rPr>
                <w:sz w:val="22"/>
                <w:szCs w:val="22"/>
                <w:color w:val="auto"/>
              </w:rPr>
            </w:pPr>
          </w:p>
        </w:tc>
        <w:tc>
          <w:tcPr>
            <w:tcW w:w="760" w:type="dxa"/>
            <w:vAlign w:val="bottom"/>
            <w:tcBorders>
              <w:top w:val="single" w:sz="8" w:color="auto"/>
              <w:bottom w:val="single" w:sz="8" w:color="F7A800"/>
            </w:tcBorders>
            <w:shd w:val="clear" w:color="auto" w:fill="F7A800"/>
          </w:tcPr>
          <w:p>
            <w:pPr>
              <w:spacing w:after="0"/>
              <w:rPr>
                <w:sz w:val="22"/>
                <w:szCs w:val="22"/>
                <w:color w:val="auto"/>
              </w:rPr>
            </w:pPr>
          </w:p>
        </w:tc>
        <w:tc>
          <w:tcPr>
            <w:tcW w:w="2880" w:type="dxa"/>
            <w:vAlign w:val="bottom"/>
            <w:tcBorders>
              <w:top w:val="single" w:sz="8" w:color="auto"/>
              <w:bottom w:val="single" w:sz="8" w:color="F7A800"/>
              <w:right w:val="single" w:sz="8" w:color="auto"/>
            </w:tcBorders>
            <w:shd w:val="clear" w:color="auto" w:fill="F7A800"/>
          </w:tcPr>
          <w:p>
            <w:pPr>
              <w:jc w:val="center"/>
              <w:ind w:right="553"/>
              <w:spacing w:after="0"/>
              <w:rPr>
                <w:sz w:val="20"/>
                <w:szCs w:val="20"/>
                <w:color w:val="auto"/>
              </w:rPr>
            </w:pPr>
            <w:r>
              <w:rPr>
                <w:rFonts w:ascii="Arial" w:cs="Arial" w:eastAsia="Arial" w:hAnsi="Arial"/>
                <w:sz w:val="18"/>
                <w:szCs w:val="18"/>
                <w:color w:val="auto"/>
                <w:w w:val="92"/>
              </w:rPr>
              <w:t>Bret Yunker(2)</w:t>
            </w:r>
          </w:p>
        </w:tc>
        <w:tc>
          <w:tcPr>
            <w:tcW w:w="3240" w:type="dxa"/>
            <w:vAlign w:val="bottom"/>
            <w:tcBorders>
              <w:top w:val="single" w:sz="8" w:color="auto"/>
              <w:bottom w:val="single" w:sz="8" w:color="F7A800"/>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rPr>
              <w:t>N/A</w:t>
            </w:r>
          </w:p>
        </w:tc>
        <w:tc>
          <w:tcPr>
            <w:tcW w:w="3240" w:type="dxa"/>
            <w:vAlign w:val="bottom"/>
            <w:tcBorders>
              <w:top w:val="single" w:sz="8" w:color="auto"/>
              <w:bottom w:val="single" w:sz="8" w:color="F7A800"/>
              <w:right w:val="single" w:sz="8" w:color="auto"/>
            </w:tcBorders>
            <w:shd w:val="clear" w:color="auto" w:fill="F7A800"/>
          </w:tcPr>
          <w:p>
            <w:pPr>
              <w:jc w:val="center"/>
              <w:ind w:left="57"/>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2880" w:type="dxa"/>
            <w:vAlign w:val="bottom"/>
            <w:tcBorders>
              <w:top w:val="single" w:sz="8" w:color="auto"/>
            </w:tcBorders>
          </w:tcPr>
          <w:p>
            <w:pPr>
              <w:spacing w:after="0"/>
              <w:rPr>
                <w:sz w:val="11"/>
                <w:szCs w:val="11"/>
                <w:color w:val="auto"/>
              </w:rPr>
            </w:pPr>
          </w:p>
        </w:tc>
        <w:tc>
          <w:tcPr>
            <w:tcW w:w="3240" w:type="dxa"/>
            <w:vAlign w:val="bottom"/>
            <w:tcBorders>
              <w:top w:val="single" w:sz="8" w:color="auto"/>
            </w:tcBorders>
          </w:tcPr>
          <w:p>
            <w:pPr>
              <w:spacing w:after="0"/>
              <w:rPr>
                <w:sz w:val="11"/>
                <w:szCs w:val="11"/>
                <w:color w:val="auto"/>
              </w:rPr>
            </w:pPr>
          </w:p>
        </w:tc>
        <w:tc>
          <w:tcPr>
            <w:tcW w:w="32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Gary L. Carano’s target did not change upon his move to Executive Chairman of the Board.</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Yunker’s employment with us began on May 2, 2019.</w:t>
      </w:r>
    </w:p>
    <w:p>
      <w:pPr>
        <w:spacing w:after="0" w:line="21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Annual incentive awards are based on achievement of Adjusted EBITDA. Adjusted EBITDA was utilized as the sole performance metric because the Compensation Committee believes that it most accurately reflects our results of operations and represents a key performance metric in the gaming/casino industry.</w:t>
      </w:r>
    </w:p>
    <w:p>
      <w:pPr>
        <w:spacing w:after="0" w:line="180" w:lineRule="exact"/>
        <w:rPr>
          <w:sz w:val="20"/>
          <w:szCs w:val="20"/>
          <w:color w:val="auto"/>
        </w:rPr>
      </w:pPr>
    </w:p>
    <w:p>
      <w:pPr>
        <w:ind w:left="120" w:right="60" w:firstLine="440"/>
        <w:spacing w:after="0" w:line="266" w:lineRule="auto"/>
        <w:rPr>
          <w:sz w:val="20"/>
          <w:szCs w:val="20"/>
          <w:color w:val="auto"/>
        </w:rPr>
      </w:pPr>
      <w:r>
        <w:rPr>
          <w:rFonts w:ascii="Arial" w:cs="Arial" w:eastAsia="Arial" w:hAnsi="Arial"/>
          <w:sz w:val="18"/>
          <w:szCs w:val="18"/>
          <w:b w:val="1"/>
          <w:bCs w:val="1"/>
          <w:color w:val="auto"/>
        </w:rPr>
        <w:t>Adjusted EBITDA is a non-GAAP financial measure. A reconciliation to the most directly comparable GAAP measure and other information can be found on page 59 of the “Management’s Discussion and Analysis of Financial Condition and Results of Operations” section of the Company’s Annual Report on Form 10-K filed with the SEC on February 28, 2020</w:t>
      </w:r>
      <w:r>
        <w:rPr>
          <w:rFonts w:ascii="Arial" w:cs="Arial" w:eastAsia="Arial" w:hAnsi="Arial"/>
          <w:sz w:val="18"/>
          <w:szCs w:val="18"/>
          <w:color w:val="auto"/>
        </w:rPr>
        <w:t>.</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With respect to the Adjusted EBITDA financial metric, performance levels for threshold and maximum bonus opportunities were 90% and 120%, respectively, of target level. The following table sets forth the threshold, target, and maximum levels, as well as the actual level of achievement attained, under the 2019 annual incentive plan:</w:t>
      </w:r>
    </w:p>
    <w:p>
      <w:pPr>
        <w:spacing w:after="0" w:line="205" w:lineRule="exact"/>
        <w:rPr>
          <w:sz w:val="20"/>
          <w:szCs w:val="20"/>
          <w:color w:val="auto"/>
        </w:rPr>
      </w:pPr>
    </w:p>
    <w:tbl>
      <w:tblPr>
        <w:tblLayout w:type="fixed"/>
        <w:tblInd w:w="570" w:type="dxa"/>
        <w:tblCellMar>
          <w:top w:w="0" w:type="dxa"/>
          <w:left w:w="0" w:type="dxa"/>
          <w:bottom w:w="0" w:type="dxa"/>
          <w:right w:w="0" w:type="dxa"/>
        </w:tblCellMar>
      </w:tblPr>
      <w:tr>
        <w:trPr>
          <w:trHeight w:val="139"/>
        </w:trPr>
        <w:tc>
          <w:tcPr>
            <w:tcW w:w="3660" w:type="dxa"/>
            <w:vAlign w:val="bottom"/>
            <w:tcBorders>
              <w:top w:val="single" w:sz="8" w:color="auto"/>
              <w:left w:val="single" w:sz="8" w:color="auto"/>
              <w:right w:val="single" w:sz="8" w:color="auto"/>
            </w:tcBorders>
            <w:shd w:val="clear" w:color="auto" w:fill="F7A800"/>
          </w:tcPr>
          <w:p>
            <w:pPr>
              <w:jc w:val="center"/>
              <w:ind w:left="56"/>
              <w:spacing w:after="0" w:line="139" w:lineRule="exact"/>
              <w:rPr>
                <w:sz w:val="20"/>
                <w:szCs w:val="20"/>
                <w:color w:val="auto"/>
              </w:rPr>
            </w:pPr>
            <w:r>
              <w:rPr>
                <w:rFonts w:ascii="Arial" w:cs="Arial" w:eastAsia="Arial" w:hAnsi="Arial"/>
                <w:sz w:val="14"/>
                <w:szCs w:val="14"/>
                <w:b w:val="1"/>
                <w:bCs w:val="1"/>
                <w:color w:val="auto"/>
                <w:w w:val="93"/>
              </w:rPr>
              <w:t>Performance</w:t>
            </w:r>
          </w:p>
        </w:tc>
        <w:tc>
          <w:tcPr>
            <w:tcW w:w="3240" w:type="dxa"/>
            <w:vAlign w:val="bottom"/>
            <w:tcBorders>
              <w:top w:val="single" w:sz="8" w:color="auto"/>
              <w:right w:val="single" w:sz="8" w:color="auto"/>
            </w:tcBorders>
            <w:shd w:val="clear" w:color="auto" w:fill="F7A800"/>
          </w:tcPr>
          <w:p>
            <w:pPr>
              <w:jc w:val="center"/>
              <w:spacing w:after="0" w:line="139" w:lineRule="exact"/>
              <w:rPr>
                <w:sz w:val="20"/>
                <w:szCs w:val="20"/>
                <w:color w:val="auto"/>
              </w:rPr>
            </w:pPr>
            <w:r>
              <w:rPr>
                <w:rFonts w:ascii="Arial" w:cs="Arial" w:eastAsia="Arial" w:hAnsi="Arial"/>
                <w:sz w:val="14"/>
                <w:szCs w:val="14"/>
                <w:b w:val="1"/>
                <w:bCs w:val="1"/>
                <w:color w:val="auto"/>
                <w:w w:val="93"/>
              </w:rPr>
              <w:t>Performance</w:t>
            </w:r>
          </w:p>
        </w:tc>
        <w:tc>
          <w:tcPr>
            <w:tcW w:w="3240" w:type="dxa"/>
            <w:vAlign w:val="bottom"/>
            <w:tcBorders>
              <w:top w:val="single" w:sz="8" w:color="auto"/>
              <w:right w:val="single" w:sz="8" w:color="auto"/>
            </w:tcBorders>
            <w:shd w:val="clear" w:color="auto" w:fill="F7A800"/>
          </w:tcPr>
          <w:p>
            <w:pPr>
              <w:ind w:left="1080"/>
              <w:spacing w:after="0" w:line="139" w:lineRule="exact"/>
              <w:rPr>
                <w:sz w:val="20"/>
                <w:szCs w:val="20"/>
                <w:color w:val="auto"/>
              </w:rPr>
            </w:pPr>
            <w:r>
              <w:rPr>
                <w:rFonts w:ascii="Arial" w:cs="Arial" w:eastAsia="Arial" w:hAnsi="Arial"/>
                <w:sz w:val="14"/>
                <w:szCs w:val="14"/>
                <w:b w:val="1"/>
                <w:bCs w:val="1"/>
                <w:color w:val="auto"/>
              </w:rPr>
              <w:t>Corporate Adjusted</w:t>
            </w:r>
          </w:p>
        </w:tc>
      </w:tr>
      <w:tr>
        <w:trPr>
          <w:trHeight w:val="185"/>
        </w:trPr>
        <w:tc>
          <w:tcPr>
            <w:tcW w:w="3660" w:type="dxa"/>
            <w:vAlign w:val="bottom"/>
            <w:tcBorders>
              <w:left w:val="single" w:sz="8" w:color="auto"/>
              <w:bottom w:val="single" w:sz="8" w:color="auto"/>
              <w:right w:val="single" w:sz="8" w:color="auto"/>
            </w:tcBorders>
            <w:shd w:val="clear" w:color="auto" w:fill="F7A800"/>
          </w:tcPr>
          <w:p>
            <w:pPr>
              <w:jc w:val="center"/>
              <w:ind w:left="76"/>
              <w:spacing w:after="0"/>
              <w:rPr>
                <w:sz w:val="20"/>
                <w:szCs w:val="20"/>
                <w:color w:val="auto"/>
              </w:rPr>
            </w:pPr>
            <w:r>
              <w:rPr>
                <w:rFonts w:ascii="Arial" w:cs="Arial" w:eastAsia="Arial" w:hAnsi="Arial"/>
                <w:sz w:val="14"/>
                <w:szCs w:val="14"/>
                <w:b w:val="1"/>
                <w:bCs w:val="1"/>
                <w:color w:val="auto"/>
                <w:w w:val="94"/>
              </w:rPr>
              <w:t>Level</w:t>
            </w:r>
          </w:p>
        </w:tc>
        <w:tc>
          <w:tcPr>
            <w:tcW w:w="324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4"/>
                <w:szCs w:val="14"/>
                <w:b w:val="1"/>
                <w:bCs w:val="1"/>
                <w:color w:val="auto"/>
                <w:w w:val="93"/>
              </w:rPr>
              <w:t>Requirement</w:t>
            </w:r>
          </w:p>
        </w:tc>
        <w:tc>
          <w:tcPr>
            <w:tcW w:w="3240" w:type="dxa"/>
            <w:vAlign w:val="bottom"/>
            <w:tcBorders>
              <w:bottom w:val="single" w:sz="8" w:color="auto"/>
              <w:right w:val="single" w:sz="8" w:color="auto"/>
            </w:tcBorders>
            <w:shd w:val="clear" w:color="auto" w:fill="F7A800"/>
          </w:tcPr>
          <w:p>
            <w:pPr>
              <w:jc w:val="center"/>
              <w:ind w:left="56"/>
              <w:spacing w:after="0"/>
              <w:rPr>
                <w:sz w:val="20"/>
                <w:szCs w:val="20"/>
                <w:color w:val="auto"/>
              </w:rPr>
            </w:pPr>
            <w:r>
              <w:rPr>
                <w:rFonts w:ascii="Arial" w:cs="Arial" w:eastAsia="Arial" w:hAnsi="Arial"/>
                <w:sz w:val="14"/>
                <w:szCs w:val="14"/>
                <w:b w:val="1"/>
                <w:bCs w:val="1"/>
                <w:color w:val="auto"/>
              </w:rPr>
              <w:t>EBITDA(‘000’s)</w:t>
            </w:r>
          </w:p>
        </w:tc>
      </w:tr>
      <w:tr>
        <w:trPr>
          <w:trHeight w:val="269"/>
        </w:trPr>
        <w:tc>
          <w:tcPr>
            <w:tcW w:w="3660" w:type="dxa"/>
            <w:vAlign w:val="bottom"/>
            <w:tcBorders>
              <w:left w:val="single" w:sz="8" w:color="auto"/>
              <w:bottom w:val="single" w:sz="8" w:color="F7A800"/>
              <w:right w:val="single" w:sz="8" w:color="auto"/>
            </w:tcBorders>
            <w:shd w:val="clear" w:color="auto" w:fill="F7A800"/>
          </w:tcPr>
          <w:p>
            <w:pPr>
              <w:jc w:val="center"/>
              <w:ind w:left="56"/>
              <w:spacing w:after="0"/>
              <w:rPr>
                <w:sz w:val="20"/>
                <w:szCs w:val="20"/>
                <w:color w:val="auto"/>
              </w:rPr>
            </w:pPr>
            <w:r>
              <w:rPr>
                <w:rFonts w:ascii="Arial" w:cs="Arial" w:eastAsia="Arial" w:hAnsi="Arial"/>
                <w:sz w:val="18"/>
                <w:szCs w:val="18"/>
                <w:color w:val="auto"/>
                <w:w w:val="89"/>
              </w:rPr>
              <w:t>Threshold</w:t>
            </w:r>
          </w:p>
        </w:tc>
        <w:tc>
          <w:tcPr>
            <w:tcW w:w="3240" w:type="dxa"/>
            <w:vAlign w:val="bottom"/>
            <w:tcBorders>
              <w:bottom w:val="single" w:sz="8" w:color="F7A800"/>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90"/>
              </w:rPr>
              <w:t>90% of target goal</w:t>
            </w:r>
          </w:p>
        </w:tc>
        <w:tc>
          <w:tcPr>
            <w:tcW w:w="3240" w:type="dxa"/>
            <w:vAlign w:val="bottom"/>
            <w:tcBorders>
              <w:bottom w:val="single" w:sz="8" w:color="F7A800"/>
              <w:right w:val="single" w:sz="8" w:color="auto"/>
            </w:tcBorders>
            <w:shd w:val="clear" w:color="auto" w:fill="F7A800"/>
          </w:tcPr>
          <w:p>
            <w:pPr>
              <w:jc w:val="center"/>
              <w:ind w:left="56"/>
              <w:spacing w:after="0"/>
              <w:rPr>
                <w:sz w:val="20"/>
                <w:szCs w:val="20"/>
                <w:color w:val="auto"/>
              </w:rPr>
            </w:pPr>
            <w:r>
              <w:rPr>
                <w:rFonts w:ascii="Arial" w:cs="Arial" w:eastAsia="Arial" w:hAnsi="Arial"/>
                <w:sz w:val="18"/>
                <w:szCs w:val="18"/>
                <w:color w:val="auto"/>
                <w:w w:val="87"/>
              </w:rPr>
              <w:t>$651,248</w:t>
            </w:r>
          </w:p>
        </w:tc>
      </w:tr>
      <w:tr>
        <w:trPr>
          <w:trHeight w:val="268"/>
        </w:trPr>
        <w:tc>
          <w:tcPr>
            <w:tcW w:w="3660" w:type="dxa"/>
            <w:vAlign w:val="bottom"/>
            <w:tcBorders>
              <w:top w:val="single" w:sz="8" w:color="auto"/>
              <w:left w:val="single" w:sz="8" w:color="auto"/>
              <w:bottom w:val="single" w:sz="8" w:color="F7A800"/>
              <w:right w:val="single" w:sz="8" w:color="auto"/>
            </w:tcBorders>
            <w:shd w:val="clear" w:color="auto" w:fill="F7A800"/>
          </w:tcPr>
          <w:p>
            <w:pPr>
              <w:jc w:val="center"/>
              <w:ind w:left="56"/>
              <w:spacing w:after="0"/>
              <w:rPr>
                <w:sz w:val="20"/>
                <w:szCs w:val="20"/>
                <w:color w:val="auto"/>
              </w:rPr>
            </w:pPr>
            <w:r>
              <w:rPr>
                <w:rFonts w:ascii="Arial" w:cs="Arial" w:eastAsia="Arial" w:hAnsi="Arial"/>
                <w:sz w:val="18"/>
                <w:szCs w:val="18"/>
                <w:color w:val="auto"/>
                <w:w w:val="84"/>
              </w:rPr>
              <w:t>Target</w:t>
            </w:r>
          </w:p>
        </w:tc>
        <w:tc>
          <w:tcPr>
            <w:tcW w:w="3240" w:type="dxa"/>
            <w:vAlign w:val="bottom"/>
            <w:tcBorders>
              <w:top w:val="single" w:sz="8" w:color="auto"/>
              <w:bottom w:val="single" w:sz="8" w:color="F7A800"/>
              <w:right w:val="single" w:sz="8" w:color="auto"/>
            </w:tcBorders>
            <w:shd w:val="clear" w:color="auto" w:fill="F7A800"/>
          </w:tcPr>
          <w:p>
            <w:pPr>
              <w:jc w:val="center"/>
              <w:ind w:left="16"/>
              <w:spacing w:after="0"/>
              <w:rPr>
                <w:sz w:val="20"/>
                <w:szCs w:val="20"/>
                <w:color w:val="auto"/>
              </w:rPr>
            </w:pPr>
            <w:r>
              <w:rPr>
                <w:rFonts w:ascii="Arial" w:cs="Arial" w:eastAsia="Arial" w:hAnsi="Arial"/>
                <w:sz w:val="18"/>
                <w:szCs w:val="18"/>
                <w:color w:val="auto"/>
                <w:w w:val="90"/>
              </w:rPr>
              <w:t>100% of target goal</w:t>
            </w:r>
          </w:p>
        </w:tc>
        <w:tc>
          <w:tcPr>
            <w:tcW w:w="3240" w:type="dxa"/>
            <w:vAlign w:val="bottom"/>
            <w:tcBorders>
              <w:top w:val="single" w:sz="8" w:color="auto"/>
              <w:bottom w:val="single" w:sz="8" w:color="F7A800"/>
              <w:right w:val="single" w:sz="8" w:color="auto"/>
            </w:tcBorders>
            <w:shd w:val="clear" w:color="auto" w:fill="F7A800"/>
          </w:tcPr>
          <w:p>
            <w:pPr>
              <w:jc w:val="center"/>
              <w:ind w:left="56"/>
              <w:spacing w:after="0"/>
              <w:rPr>
                <w:sz w:val="20"/>
                <w:szCs w:val="20"/>
                <w:color w:val="auto"/>
              </w:rPr>
            </w:pPr>
            <w:r>
              <w:rPr>
                <w:rFonts w:ascii="Arial" w:cs="Arial" w:eastAsia="Arial" w:hAnsi="Arial"/>
                <w:sz w:val="18"/>
                <w:szCs w:val="18"/>
                <w:color w:val="auto"/>
                <w:w w:val="87"/>
              </w:rPr>
              <w:t>$723,609</w:t>
            </w:r>
          </w:p>
        </w:tc>
      </w:tr>
      <w:tr>
        <w:trPr>
          <w:trHeight w:val="268"/>
        </w:trPr>
        <w:tc>
          <w:tcPr>
            <w:tcW w:w="3660" w:type="dxa"/>
            <w:vAlign w:val="bottom"/>
            <w:tcBorders>
              <w:top w:val="single" w:sz="8" w:color="auto"/>
              <w:left w:val="single" w:sz="8" w:color="auto"/>
              <w:bottom w:val="single" w:sz="8" w:color="F7A800"/>
              <w:right w:val="single" w:sz="8" w:color="auto"/>
            </w:tcBorders>
            <w:shd w:val="clear" w:color="auto" w:fill="F7A800"/>
          </w:tcPr>
          <w:p>
            <w:pPr>
              <w:jc w:val="center"/>
              <w:ind w:left="56"/>
              <w:spacing w:after="0"/>
              <w:rPr>
                <w:sz w:val="20"/>
                <w:szCs w:val="20"/>
                <w:color w:val="auto"/>
              </w:rPr>
            </w:pPr>
            <w:r>
              <w:rPr>
                <w:rFonts w:ascii="Arial" w:cs="Arial" w:eastAsia="Arial" w:hAnsi="Arial"/>
                <w:sz w:val="18"/>
                <w:szCs w:val="18"/>
                <w:color w:val="auto"/>
                <w:w w:val="97"/>
              </w:rPr>
              <w:t>Maximum</w:t>
            </w:r>
          </w:p>
        </w:tc>
        <w:tc>
          <w:tcPr>
            <w:tcW w:w="3240" w:type="dxa"/>
            <w:vAlign w:val="bottom"/>
            <w:tcBorders>
              <w:top w:val="single" w:sz="8" w:color="auto"/>
              <w:bottom w:val="single" w:sz="8" w:color="F7A800"/>
              <w:right w:val="single" w:sz="8" w:color="auto"/>
            </w:tcBorders>
            <w:shd w:val="clear" w:color="auto" w:fill="F7A800"/>
          </w:tcPr>
          <w:p>
            <w:pPr>
              <w:jc w:val="center"/>
              <w:ind w:left="16"/>
              <w:spacing w:after="0"/>
              <w:rPr>
                <w:sz w:val="20"/>
                <w:szCs w:val="20"/>
                <w:color w:val="auto"/>
              </w:rPr>
            </w:pPr>
            <w:r>
              <w:rPr>
                <w:rFonts w:ascii="Arial" w:cs="Arial" w:eastAsia="Arial" w:hAnsi="Arial"/>
                <w:sz w:val="18"/>
                <w:szCs w:val="18"/>
                <w:color w:val="auto"/>
                <w:w w:val="90"/>
              </w:rPr>
              <w:t>120% of target goal</w:t>
            </w:r>
          </w:p>
        </w:tc>
        <w:tc>
          <w:tcPr>
            <w:tcW w:w="3240" w:type="dxa"/>
            <w:vAlign w:val="bottom"/>
            <w:tcBorders>
              <w:top w:val="single" w:sz="8" w:color="auto"/>
              <w:bottom w:val="single" w:sz="8" w:color="F7A800"/>
              <w:right w:val="single" w:sz="8" w:color="auto"/>
            </w:tcBorders>
            <w:shd w:val="clear" w:color="auto" w:fill="F7A800"/>
          </w:tcPr>
          <w:p>
            <w:pPr>
              <w:jc w:val="center"/>
              <w:ind w:left="56"/>
              <w:spacing w:after="0"/>
              <w:rPr>
                <w:sz w:val="20"/>
                <w:szCs w:val="20"/>
                <w:color w:val="auto"/>
              </w:rPr>
            </w:pPr>
            <w:r>
              <w:rPr>
                <w:rFonts w:ascii="Arial" w:cs="Arial" w:eastAsia="Arial" w:hAnsi="Arial"/>
                <w:sz w:val="18"/>
                <w:szCs w:val="18"/>
                <w:color w:val="auto"/>
                <w:w w:val="87"/>
              </w:rPr>
              <w:t>$868,331</w:t>
            </w:r>
          </w:p>
        </w:tc>
      </w:tr>
      <w:tr>
        <w:trPr>
          <w:trHeight w:val="243"/>
        </w:trPr>
        <w:tc>
          <w:tcPr>
            <w:tcW w:w="3660" w:type="dxa"/>
            <w:vAlign w:val="bottom"/>
            <w:tcBorders>
              <w:top w:val="single" w:sz="8" w:color="auto"/>
              <w:left w:val="single" w:sz="8" w:color="auto"/>
              <w:bottom w:val="single" w:sz="8" w:color="FBD37F"/>
              <w:right w:val="single" w:sz="8" w:color="auto"/>
            </w:tcBorders>
            <w:shd w:val="clear" w:color="auto" w:fill="FBD37F"/>
          </w:tcPr>
          <w:p>
            <w:pPr>
              <w:jc w:val="center"/>
              <w:ind w:left="76"/>
              <w:spacing w:after="0"/>
              <w:rPr>
                <w:sz w:val="20"/>
                <w:szCs w:val="20"/>
                <w:color w:val="auto"/>
              </w:rPr>
            </w:pPr>
            <w:r>
              <w:rPr>
                <w:rFonts w:ascii="Arial" w:cs="Arial" w:eastAsia="Arial" w:hAnsi="Arial"/>
                <w:sz w:val="18"/>
                <w:szCs w:val="18"/>
                <w:color w:val="auto"/>
                <w:w w:val="94"/>
              </w:rPr>
              <w:t>Actual for 2019</w:t>
            </w:r>
          </w:p>
        </w:tc>
        <w:tc>
          <w:tcPr>
            <w:tcW w:w="3240" w:type="dxa"/>
            <w:vAlign w:val="bottom"/>
            <w:tcBorders>
              <w:top w:val="single" w:sz="8" w:color="auto"/>
              <w:bottom w:val="single" w:sz="8" w:color="FBD37F"/>
              <w:right w:val="single" w:sz="8" w:color="auto"/>
            </w:tcBorders>
            <w:shd w:val="clear" w:color="auto" w:fill="FBD37F"/>
          </w:tcPr>
          <w:p>
            <w:pPr>
              <w:jc w:val="center"/>
              <w:spacing w:after="0"/>
              <w:rPr>
                <w:sz w:val="20"/>
                <w:szCs w:val="20"/>
                <w:color w:val="auto"/>
              </w:rPr>
            </w:pPr>
            <w:r>
              <w:rPr>
                <w:rFonts w:ascii="Arial" w:cs="Arial" w:eastAsia="Arial" w:hAnsi="Arial"/>
                <w:sz w:val="18"/>
                <w:szCs w:val="18"/>
                <w:color w:val="auto"/>
                <w:w w:val="91"/>
              </w:rPr>
              <w:t>96.5% of target goal</w:t>
            </w:r>
          </w:p>
        </w:tc>
        <w:tc>
          <w:tcPr>
            <w:tcW w:w="3240" w:type="dxa"/>
            <w:vAlign w:val="bottom"/>
            <w:tcBorders>
              <w:top w:val="single" w:sz="8" w:color="auto"/>
              <w:bottom w:val="single" w:sz="8" w:color="FBD37F"/>
              <w:right w:val="single" w:sz="8" w:color="auto"/>
            </w:tcBorders>
            <w:shd w:val="clear" w:color="auto" w:fill="FBD37F"/>
          </w:tcPr>
          <w:p>
            <w:pPr>
              <w:jc w:val="center"/>
              <w:ind w:left="56"/>
              <w:spacing w:after="0"/>
              <w:rPr>
                <w:sz w:val="20"/>
                <w:szCs w:val="20"/>
                <w:color w:val="auto"/>
              </w:rPr>
            </w:pPr>
            <w:r>
              <w:rPr>
                <w:rFonts w:ascii="Arial" w:cs="Arial" w:eastAsia="Arial" w:hAnsi="Arial"/>
                <w:sz w:val="18"/>
                <w:szCs w:val="18"/>
                <w:color w:val="auto"/>
                <w:w w:val="87"/>
              </w:rPr>
              <w:t>$698,064</w:t>
            </w:r>
          </w:p>
        </w:tc>
      </w:tr>
      <w:tr>
        <w:trPr>
          <w:trHeight w:val="20"/>
        </w:trPr>
        <w:tc>
          <w:tcPr>
            <w:tcW w:w="36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40" w:type="dxa"/>
            <w:vAlign w:val="bottom"/>
            <w:tcBorders>
              <w:right w:val="single" w:sz="8" w:color="auto"/>
            </w:tcBorders>
            <w:shd w:val="clear" w:color="auto" w:fill="000000"/>
          </w:tcPr>
          <w:p>
            <w:pPr>
              <w:spacing w:after="0" w:line="20" w:lineRule="exact"/>
              <w:rPr>
                <w:sz w:val="1"/>
                <w:szCs w:val="1"/>
                <w:color w:val="auto"/>
              </w:rPr>
            </w:pPr>
          </w:p>
        </w:tc>
        <w:tc>
          <w:tcPr>
            <w:tcW w:w="3240" w:type="dxa"/>
            <w:vAlign w:val="bottom"/>
            <w:tcBorders>
              <w:right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Payout opportunities range from 50% to 200% of the NEO’s target annual bonus opportunity, depending on actual performance achievement (payouts for performance between performance levels is interpolated on a straight-line basis). The following table sets forth the potential and actual payout amounts for each NEO under the 2019 annual incentive plan:</w:t>
      </w:r>
    </w:p>
    <w:p>
      <w:pPr>
        <w:spacing w:after="0" w:line="205" w:lineRule="exact"/>
        <w:rPr>
          <w:sz w:val="20"/>
          <w:szCs w:val="20"/>
          <w:color w:val="auto"/>
        </w:rPr>
      </w:pPr>
    </w:p>
    <w:tbl>
      <w:tblPr>
        <w:tblLayout w:type="fixed"/>
        <w:tblInd w:w="130" w:type="dxa"/>
        <w:tblCellMar>
          <w:top w:w="0" w:type="dxa"/>
          <w:left w:w="0" w:type="dxa"/>
          <w:bottom w:w="0" w:type="dxa"/>
          <w:right w:w="0" w:type="dxa"/>
        </w:tblCellMar>
      </w:tblPr>
      <w:tr>
        <w:trPr>
          <w:trHeight w:val="139"/>
        </w:trPr>
        <w:tc>
          <w:tcPr>
            <w:tcW w:w="1220" w:type="dxa"/>
            <w:vAlign w:val="bottom"/>
            <w:tcBorders>
              <w:top w:val="single" w:sz="8" w:color="auto"/>
              <w:left w:val="single" w:sz="8" w:color="auto"/>
            </w:tcBorders>
            <w:shd w:val="clear" w:color="auto" w:fill="F7A800"/>
          </w:tcPr>
          <w:p>
            <w:pPr>
              <w:spacing w:after="0"/>
              <w:rPr>
                <w:sz w:val="12"/>
                <w:szCs w:val="12"/>
                <w:color w:val="auto"/>
              </w:rPr>
            </w:pPr>
          </w:p>
        </w:tc>
        <w:tc>
          <w:tcPr>
            <w:tcW w:w="1760" w:type="dxa"/>
            <w:vAlign w:val="bottom"/>
            <w:tcBorders>
              <w:top w:val="single" w:sz="8" w:color="auto"/>
              <w:right w:val="single" w:sz="8" w:color="auto"/>
            </w:tcBorders>
            <w:shd w:val="clear" w:color="auto" w:fill="F7A800"/>
          </w:tcPr>
          <w:p>
            <w:pPr>
              <w:spacing w:after="0"/>
              <w:rPr>
                <w:sz w:val="12"/>
                <w:szCs w:val="12"/>
                <w:color w:val="auto"/>
              </w:rPr>
            </w:pPr>
          </w:p>
        </w:tc>
        <w:tc>
          <w:tcPr>
            <w:tcW w:w="1380" w:type="dxa"/>
            <w:vAlign w:val="bottom"/>
            <w:tcBorders>
              <w:top w:val="single" w:sz="8" w:color="auto"/>
              <w:right w:val="single" w:sz="8" w:color="auto"/>
            </w:tcBorders>
            <w:shd w:val="clear" w:color="auto" w:fill="F7A800"/>
          </w:tcPr>
          <w:p>
            <w:pPr>
              <w:jc w:val="center"/>
              <w:spacing w:after="0" w:line="139" w:lineRule="exact"/>
              <w:rPr>
                <w:sz w:val="20"/>
                <w:szCs w:val="20"/>
                <w:color w:val="auto"/>
              </w:rPr>
            </w:pPr>
            <w:r>
              <w:rPr>
                <w:rFonts w:ascii="Arial" w:cs="Arial" w:eastAsia="Arial" w:hAnsi="Arial"/>
                <w:sz w:val="14"/>
                <w:szCs w:val="14"/>
                <w:b w:val="1"/>
                <w:bCs w:val="1"/>
                <w:color w:val="auto"/>
                <w:w w:val="89"/>
              </w:rPr>
              <w:t>Payout</w:t>
            </w:r>
          </w:p>
        </w:tc>
        <w:tc>
          <w:tcPr>
            <w:tcW w:w="1420" w:type="dxa"/>
            <w:vAlign w:val="bottom"/>
            <w:tcBorders>
              <w:top w:val="single" w:sz="8" w:color="auto"/>
              <w:right w:val="single" w:sz="8" w:color="auto"/>
            </w:tcBorders>
            <w:shd w:val="clear" w:color="auto" w:fill="F7A800"/>
          </w:tcPr>
          <w:p>
            <w:pPr>
              <w:spacing w:after="0"/>
              <w:rPr>
                <w:sz w:val="12"/>
                <w:szCs w:val="12"/>
                <w:color w:val="auto"/>
              </w:rPr>
            </w:pPr>
          </w:p>
        </w:tc>
        <w:tc>
          <w:tcPr>
            <w:tcW w:w="1440" w:type="dxa"/>
            <w:vAlign w:val="bottom"/>
            <w:tcBorders>
              <w:top w:val="single" w:sz="8" w:color="auto"/>
              <w:right w:val="single" w:sz="8" w:color="auto"/>
            </w:tcBorders>
            <w:shd w:val="clear" w:color="auto" w:fill="F7A800"/>
          </w:tcPr>
          <w:p>
            <w:pPr>
              <w:spacing w:after="0"/>
              <w:rPr>
                <w:sz w:val="12"/>
                <w:szCs w:val="12"/>
                <w:color w:val="auto"/>
              </w:rPr>
            </w:pPr>
          </w:p>
        </w:tc>
        <w:tc>
          <w:tcPr>
            <w:tcW w:w="1200" w:type="dxa"/>
            <w:vAlign w:val="bottom"/>
            <w:tcBorders>
              <w:top w:val="single" w:sz="8" w:color="auto"/>
              <w:right w:val="single" w:sz="8" w:color="auto"/>
            </w:tcBorders>
            <w:vMerge w:val="restart"/>
            <w:shd w:val="clear" w:color="auto" w:fill="F7A800"/>
          </w:tcPr>
          <w:p>
            <w:pPr>
              <w:jc w:val="center"/>
              <w:ind w:right="59"/>
              <w:spacing w:after="0"/>
              <w:rPr>
                <w:sz w:val="20"/>
                <w:szCs w:val="20"/>
                <w:color w:val="auto"/>
              </w:rPr>
            </w:pPr>
            <w:r>
              <w:rPr>
                <w:rFonts w:ascii="Arial" w:cs="Arial" w:eastAsia="Arial" w:hAnsi="Arial"/>
                <w:sz w:val="14"/>
                <w:szCs w:val="14"/>
                <w:b w:val="1"/>
                <w:bCs w:val="1"/>
                <w:color w:val="auto"/>
                <w:w w:val="95"/>
              </w:rPr>
              <w:t>Anthony</w:t>
            </w:r>
          </w:p>
        </w:tc>
        <w:tc>
          <w:tcPr>
            <w:tcW w:w="1320" w:type="dxa"/>
            <w:vAlign w:val="bottom"/>
            <w:tcBorders>
              <w:top w:val="single" w:sz="8" w:color="auto"/>
              <w:right w:val="single" w:sz="8" w:color="auto"/>
            </w:tcBorders>
            <w:vMerge w:val="restart"/>
            <w:shd w:val="clear" w:color="auto" w:fill="F7A800"/>
          </w:tcPr>
          <w:p>
            <w:pPr>
              <w:jc w:val="center"/>
              <w:ind w:right="79"/>
              <w:spacing w:after="0"/>
              <w:rPr>
                <w:sz w:val="20"/>
                <w:szCs w:val="20"/>
                <w:color w:val="auto"/>
              </w:rPr>
            </w:pPr>
            <w:r>
              <w:rPr>
                <w:rFonts w:ascii="Arial" w:cs="Arial" w:eastAsia="Arial" w:hAnsi="Arial"/>
                <w:sz w:val="14"/>
                <w:szCs w:val="14"/>
                <w:b w:val="1"/>
                <w:bCs w:val="1"/>
                <w:color w:val="auto"/>
                <w:w w:val="99"/>
              </w:rPr>
              <w:t>Edmund L.</w:t>
            </w:r>
          </w:p>
        </w:tc>
        <w:tc>
          <w:tcPr>
            <w:tcW w:w="1300" w:type="dxa"/>
            <w:vAlign w:val="bottom"/>
            <w:tcBorders>
              <w:top w:val="single" w:sz="8" w:color="auto"/>
              <w:right w:val="single" w:sz="8" w:color="auto"/>
            </w:tcBorders>
            <w:shd w:val="clear" w:color="auto" w:fill="F7A8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20" w:type="dxa"/>
            <w:vAlign w:val="bottom"/>
            <w:tcBorders>
              <w:left w:val="single" w:sz="8" w:color="auto"/>
            </w:tcBorders>
            <w:shd w:val="clear" w:color="auto" w:fill="F7A800"/>
          </w:tcPr>
          <w:p>
            <w:pPr>
              <w:spacing w:after="0"/>
              <w:rPr>
                <w:sz w:val="12"/>
                <w:szCs w:val="12"/>
                <w:color w:val="auto"/>
              </w:rPr>
            </w:pPr>
          </w:p>
        </w:tc>
        <w:tc>
          <w:tcPr>
            <w:tcW w:w="1760" w:type="dxa"/>
            <w:vAlign w:val="bottom"/>
            <w:tcBorders>
              <w:right w:val="single" w:sz="8" w:color="auto"/>
            </w:tcBorders>
            <w:shd w:val="clear" w:color="auto" w:fill="F7A800"/>
          </w:tcPr>
          <w:p>
            <w:pPr>
              <w:spacing w:after="0"/>
              <w:rPr>
                <w:sz w:val="12"/>
                <w:szCs w:val="12"/>
                <w:color w:val="auto"/>
              </w:rPr>
            </w:pPr>
          </w:p>
        </w:tc>
        <w:tc>
          <w:tcPr>
            <w:tcW w:w="1380" w:type="dxa"/>
            <w:vAlign w:val="bottom"/>
            <w:tcBorders>
              <w:right w:val="single" w:sz="8" w:color="auto"/>
            </w:tcBorders>
            <w:shd w:val="clear" w:color="auto" w:fill="F7A800"/>
          </w:tcPr>
          <w:p>
            <w:pPr>
              <w:jc w:val="center"/>
              <w:spacing w:after="0" w:line="145" w:lineRule="exact"/>
              <w:rPr>
                <w:sz w:val="20"/>
                <w:szCs w:val="20"/>
                <w:color w:val="auto"/>
              </w:rPr>
            </w:pPr>
            <w:r>
              <w:rPr>
                <w:rFonts w:ascii="Arial" w:cs="Arial" w:eastAsia="Arial" w:hAnsi="Arial"/>
                <w:sz w:val="14"/>
                <w:szCs w:val="14"/>
                <w:b w:val="1"/>
                <w:bCs w:val="1"/>
                <w:color w:val="auto"/>
                <w:w w:val="93"/>
              </w:rPr>
              <w:t>Opportunity (as</w:t>
            </w:r>
          </w:p>
        </w:tc>
        <w:tc>
          <w:tcPr>
            <w:tcW w:w="1420" w:type="dxa"/>
            <w:vAlign w:val="bottom"/>
            <w:tcBorders>
              <w:right w:val="single" w:sz="8" w:color="auto"/>
            </w:tcBorders>
            <w:vMerge w:val="restart"/>
            <w:shd w:val="clear" w:color="auto" w:fill="F7A800"/>
          </w:tcPr>
          <w:p>
            <w:pPr>
              <w:jc w:val="center"/>
              <w:ind w:right="58"/>
              <w:spacing w:after="0"/>
              <w:rPr>
                <w:sz w:val="20"/>
                <w:szCs w:val="20"/>
                <w:color w:val="auto"/>
              </w:rPr>
            </w:pPr>
            <w:r>
              <w:rPr>
                <w:rFonts w:ascii="Arial" w:cs="Arial" w:eastAsia="Arial" w:hAnsi="Arial"/>
                <w:sz w:val="14"/>
                <w:szCs w:val="14"/>
                <w:b w:val="1"/>
                <w:bCs w:val="1"/>
                <w:color w:val="auto"/>
                <w:w w:val="99"/>
              </w:rPr>
              <w:t>Gary L. Carano</w:t>
            </w:r>
          </w:p>
        </w:tc>
        <w:tc>
          <w:tcPr>
            <w:tcW w:w="1440" w:type="dxa"/>
            <w:vAlign w:val="bottom"/>
            <w:tcBorders>
              <w:right w:val="single" w:sz="8" w:color="auto"/>
            </w:tcBorders>
            <w:vMerge w:val="restart"/>
            <w:shd w:val="clear" w:color="auto" w:fill="F7A800"/>
          </w:tcPr>
          <w:p>
            <w:pPr>
              <w:jc w:val="center"/>
              <w:ind w:right="58"/>
              <w:spacing w:after="0"/>
              <w:rPr>
                <w:sz w:val="20"/>
                <w:szCs w:val="20"/>
                <w:color w:val="auto"/>
              </w:rPr>
            </w:pPr>
            <w:r>
              <w:rPr>
                <w:rFonts w:ascii="Arial" w:cs="Arial" w:eastAsia="Arial" w:hAnsi="Arial"/>
                <w:sz w:val="14"/>
                <w:szCs w:val="14"/>
                <w:b w:val="1"/>
                <w:bCs w:val="1"/>
                <w:color w:val="auto"/>
                <w:w w:val="92"/>
              </w:rPr>
              <w:t>Thomas R. Reeg</w:t>
            </w:r>
          </w:p>
        </w:tc>
        <w:tc>
          <w:tcPr>
            <w:tcW w:w="1200" w:type="dxa"/>
            <w:vAlign w:val="bottom"/>
            <w:tcBorders>
              <w:right w:val="single" w:sz="8" w:color="auto"/>
            </w:tcBorders>
            <w:vMerge w:val="continue"/>
            <w:shd w:val="clear" w:color="auto" w:fill="F7A800"/>
          </w:tcPr>
          <w:p>
            <w:pPr>
              <w:spacing w:after="0"/>
              <w:rPr>
                <w:sz w:val="12"/>
                <w:szCs w:val="12"/>
                <w:color w:val="auto"/>
              </w:rPr>
            </w:pPr>
          </w:p>
        </w:tc>
        <w:tc>
          <w:tcPr>
            <w:tcW w:w="1320" w:type="dxa"/>
            <w:vAlign w:val="bottom"/>
            <w:tcBorders>
              <w:right w:val="single" w:sz="8" w:color="auto"/>
            </w:tcBorders>
            <w:vMerge w:val="continue"/>
            <w:shd w:val="clear" w:color="auto" w:fill="F7A800"/>
          </w:tcPr>
          <w:p>
            <w:pPr>
              <w:spacing w:after="0"/>
              <w:rPr>
                <w:sz w:val="12"/>
                <w:szCs w:val="12"/>
                <w:color w:val="auto"/>
              </w:rPr>
            </w:pPr>
          </w:p>
        </w:tc>
        <w:tc>
          <w:tcPr>
            <w:tcW w:w="1300" w:type="dxa"/>
            <w:vAlign w:val="bottom"/>
            <w:tcBorders>
              <w:right w:val="single" w:sz="8" w:color="auto"/>
            </w:tcBorders>
            <w:vMerge w:val="restart"/>
            <w:shd w:val="clear" w:color="auto" w:fill="F7A800"/>
          </w:tcPr>
          <w:p>
            <w:pPr>
              <w:jc w:val="center"/>
              <w:ind w:right="78"/>
              <w:spacing w:after="0"/>
              <w:rPr>
                <w:sz w:val="20"/>
                <w:szCs w:val="20"/>
                <w:color w:val="auto"/>
              </w:rPr>
            </w:pPr>
            <w:r>
              <w:rPr>
                <w:rFonts w:ascii="Arial" w:cs="Arial" w:eastAsia="Arial" w:hAnsi="Arial"/>
                <w:sz w:val="14"/>
                <w:szCs w:val="14"/>
                <w:b w:val="1"/>
                <w:bCs w:val="1"/>
                <w:color w:val="auto"/>
                <w:w w:val="93"/>
              </w:rPr>
              <w:t>Bret Yunker</w:t>
            </w:r>
          </w:p>
        </w:tc>
        <w:tc>
          <w:tcPr>
            <w:tcW w:w="0" w:type="dxa"/>
            <w:vAlign w:val="bottom"/>
          </w:tcPr>
          <w:p>
            <w:pPr>
              <w:spacing w:after="0"/>
              <w:rPr>
                <w:sz w:val="1"/>
                <w:szCs w:val="1"/>
                <w:color w:val="auto"/>
              </w:rPr>
            </w:pPr>
          </w:p>
        </w:tc>
      </w:tr>
      <w:tr>
        <w:trPr>
          <w:trHeight w:val="148"/>
        </w:trPr>
        <w:tc>
          <w:tcPr>
            <w:tcW w:w="1220" w:type="dxa"/>
            <w:vAlign w:val="bottom"/>
            <w:tcBorders>
              <w:left w:val="single" w:sz="8" w:color="auto"/>
            </w:tcBorders>
            <w:shd w:val="clear" w:color="auto" w:fill="F7A800"/>
          </w:tcPr>
          <w:p>
            <w:pPr>
              <w:spacing w:after="0"/>
              <w:rPr>
                <w:sz w:val="12"/>
                <w:szCs w:val="12"/>
                <w:color w:val="auto"/>
              </w:rPr>
            </w:pPr>
          </w:p>
        </w:tc>
        <w:tc>
          <w:tcPr>
            <w:tcW w:w="1760" w:type="dxa"/>
            <w:vAlign w:val="bottom"/>
            <w:tcBorders>
              <w:right w:val="single" w:sz="8" w:color="auto"/>
            </w:tcBorders>
            <w:shd w:val="clear" w:color="auto" w:fill="F7A800"/>
          </w:tcPr>
          <w:p>
            <w:pPr>
              <w:spacing w:after="0"/>
              <w:rPr>
                <w:sz w:val="12"/>
                <w:szCs w:val="12"/>
                <w:color w:val="auto"/>
              </w:rPr>
            </w:pPr>
          </w:p>
        </w:tc>
        <w:tc>
          <w:tcPr>
            <w:tcW w:w="1380" w:type="dxa"/>
            <w:vAlign w:val="bottom"/>
            <w:tcBorders>
              <w:right w:val="single" w:sz="8" w:color="auto"/>
            </w:tcBorders>
            <w:shd w:val="clear" w:color="auto" w:fill="F7A800"/>
          </w:tcPr>
          <w:p>
            <w:pPr>
              <w:jc w:val="center"/>
              <w:spacing w:after="0" w:line="149" w:lineRule="exact"/>
              <w:rPr>
                <w:sz w:val="20"/>
                <w:szCs w:val="20"/>
                <w:color w:val="auto"/>
              </w:rPr>
            </w:pPr>
            <w:r>
              <w:rPr>
                <w:rFonts w:ascii="Arial" w:cs="Arial" w:eastAsia="Arial" w:hAnsi="Arial"/>
                <w:sz w:val="14"/>
                <w:szCs w:val="14"/>
                <w:b w:val="1"/>
                <w:bCs w:val="1"/>
                <w:color w:val="auto"/>
                <w:w w:val="89"/>
              </w:rPr>
              <w:t>percentage of each</w:t>
            </w:r>
          </w:p>
        </w:tc>
        <w:tc>
          <w:tcPr>
            <w:tcW w:w="1420" w:type="dxa"/>
            <w:vAlign w:val="bottom"/>
            <w:tcBorders>
              <w:right w:val="single" w:sz="8" w:color="auto"/>
            </w:tcBorders>
            <w:vMerge w:val="continue"/>
            <w:shd w:val="clear" w:color="auto" w:fill="F7A800"/>
          </w:tcPr>
          <w:p>
            <w:pPr>
              <w:spacing w:after="0"/>
              <w:rPr>
                <w:sz w:val="12"/>
                <w:szCs w:val="12"/>
                <w:color w:val="auto"/>
              </w:rPr>
            </w:pPr>
          </w:p>
        </w:tc>
        <w:tc>
          <w:tcPr>
            <w:tcW w:w="1440" w:type="dxa"/>
            <w:vAlign w:val="bottom"/>
            <w:tcBorders>
              <w:right w:val="single" w:sz="8" w:color="auto"/>
            </w:tcBorders>
            <w:vMerge w:val="continue"/>
            <w:shd w:val="clear" w:color="auto" w:fill="F7A800"/>
          </w:tcPr>
          <w:p>
            <w:pPr>
              <w:spacing w:after="0"/>
              <w:rPr>
                <w:sz w:val="12"/>
                <w:szCs w:val="12"/>
                <w:color w:val="auto"/>
              </w:rPr>
            </w:pPr>
          </w:p>
        </w:tc>
        <w:tc>
          <w:tcPr>
            <w:tcW w:w="1200" w:type="dxa"/>
            <w:vAlign w:val="bottom"/>
            <w:tcBorders>
              <w:right w:val="single" w:sz="8" w:color="auto"/>
            </w:tcBorders>
            <w:shd w:val="clear" w:color="auto" w:fill="F7A800"/>
          </w:tcPr>
          <w:p>
            <w:pPr>
              <w:jc w:val="center"/>
              <w:ind w:right="79"/>
              <w:spacing w:after="0" w:line="149" w:lineRule="exact"/>
              <w:rPr>
                <w:sz w:val="20"/>
                <w:szCs w:val="20"/>
                <w:color w:val="auto"/>
              </w:rPr>
            </w:pPr>
            <w:r>
              <w:rPr>
                <w:rFonts w:ascii="Arial" w:cs="Arial" w:eastAsia="Arial" w:hAnsi="Arial"/>
                <w:sz w:val="14"/>
                <w:szCs w:val="14"/>
                <w:b w:val="1"/>
                <w:bCs w:val="1"/>
                <w:color w:val="auto"/>
                <w:w w:val="99"/>
              </w:rPr>
              <w:t>L. Carano</w:t>
            </w:r>
          </w:p>
        </w:tc>
        <w:tc>
          <w:tcPr>
            <w:tcW w:w="1320" w:type="dxa"/>
            <w:vAlign w:val="bottom"/>
            <w:tcBorders>
              <w:right w:val="single" w:sz="8" w:color="auto"/>
            </w:tcBorders>
            <w:shd w:val="clear" w:color="auto" w:fill="F7A800"/>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Quatmann, Jr.</w:t>
            </w:r>
          </w:p>
        </w:tc>
        <w:tc>
          <w:tcPr>
            <w:tcW w:w="1300" w:type="dxa"/>
            <w:vAlign w:val="bottom"/>
            <w:tcBorders>
              <w:right w:val="single" w:sz="8" w:color="auto"/>
            </w:tcBorders>
            <w:vMerge w:val="continue"/>
            <w:shd w:val="clear" w:color="auto" w:fill="F7A8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Borders>
              <w:left w:val="single" w:sz="8" w:color="auto"/>
              <w:right w:val="single" w:sz="8" w:color="auto"/>
            </w:tcBorders>
            <w:gridSpan w:val="2"/>
            <w:vMerge w:val="restart"/>
            <w:shd w:val="clear" w:color="auto" w:fill="F7A800"/>
          </w:tcPr>
          <w:p>
            <w:pPr>
              <w:jc w:val="center"/>
              <w:ind w:left="55"/>
              <w:spacing w:after="0"/>
              <w:rPr>
                <w:sz w:val="20"/>
                <w:szCs w:val="20"/>
                <w:color w:val="auto"/>
              </w:rPr>
            </w:pPr>
            <w:r>
              <w:rPr>
                <w:rFonts w:ascii="Arial" w:cs="Arial" w:eastAsia="Arial" w:hAnsi="Arial"/>
                <w:sz w:val="14"/>
                <w:szCs w:val="14"/>
                <w:b w:val="1"/>
                <w:bCs w:val="1"/>
                <w:color w:val="auto"/>
                <w:w w:val="92"/>
              </w:rPr>
              <w:t>Performance Level</w:t>
            </w:r>
          </w:p>
        </w:tc>
        <w:tc>
          <w:tcPr>
            <w:tcW w:w="1380" w:type="dxa"/>
            <w:vAlign w:val="bottom"/>
            <w:tcBorders>
              <w:right w:val="single" w:sz="8" w:color="auto"/>
            </w:tcBorders>
            <w:shd w:val="clear" w:color="auto" w:fill="F7A800"/>
          </w:tcPr>
          <w:p>
            <w:pPr>
              <w:jc w:val="center"/>
              <w:spacing w:after="0" w:line="149" w:lineRule="exact"/>
              <w:rPr>
                <w:sz w:val="20"/>
                <w:szCs w:val="20"/>
                <w:color w:val="auto"/>
              </w:rPr>
            </w:pPr>
            <w:r>
              <w:rPr>
                <w:rFonts w:ascii="Arial" w:cs="Arial" w:eastAsia="Arial" w:hAnsi="Arial"/>
                <w:sz w:val="14"/>
                <w:szCs w:val="14"/>
                <w:b w:val="1"/>
                <w:bCs w:val="1"/>
                <w:color w:val="auto"/>
                <w:w w:val="96"/>
              </w:rPr>
              <w:t>NEO’s Target</w:t>
            </w:r>
          </w:p>
        </w:tc>
        <w:tc>
          <w:tcPr>
            <w:tcW w:w="1420" w:type="dxa"/>
            <w:vAlign w:val="bottom"/>
            <w:tcBorders>
              <w:right w:val="single" w:sz="8" w:color="auto"/>
            </w:tcBorders>
            <w:shd w:val="clear" w:color="auto" w:fill="F7A800"/>
          </w:tcPr>
          <w:p>
            <w:pPr>
              <w:jc w:val="center"/>
              <w:ind w:right="58"/>
              <w:spacing w:after="0" w:line="149" w:lineRule="exact"/>
              <w:rPr>
                <w:sz w:val="20"/>
                <w:szCs w:val="20"/>
                <w:color w:val="auto"/>
              </w:rPr>
            </w:pPr>
            <w:r>
              <w:rPr>
                <w:rFonts w:ascii="Arial" w:cs="Arial" w:eastAsia="Arial" w:hAnsi="Arial"/>
                <w:sz w:val="14"/>
                <w:szCs w:val="14"/>
                <w:b w:val="1"/>
                <w:bCs w:val="1"/>
                <w:color w:val="auto"/>
                <w:w w:val="94"/>
              </w:rPr>
              <w:t>Payout</w:t>
            </w:r>
          </w:p>
        </w:tc>
        <w:tc>
          <w:tcPr>
            <w:tcW w:w="1440" w:type="dxa"/>
            <w:vAlign w:val="bottom"/>
            <w:tcBorders>
              <w:right w:val="single" w:sz="8" w:color="auto"/>
            </w:tcBorders>
            <w:shd w:val="clear" w:color="auto" w:fill="F7A800"/>
          </w:tcPr>
          <w:p>
            <w:pPr>
              <w:jc w:val="center"/>
              <w:ind w:right="58"/>
              <w:spacing w:after="0" w:line="149" w:lineRule="exact"/>
              <w:rPr>
                <w:sz w:val="20"/>
                <w:szCs w:val="20"/>
                <w:color w:val="auto"/>
              </w:rPr>
            </w:pPr>
            <w:r>
              <w:rPr>
                <w:rFonts w:ascii="Arial" w:cs="Arial" w:eastAsia="Arial" w:hAnsi="Arial"/>
                <w:sz w:val="14"/>
                <w:szCs w:val="14"/>
                <w:b w:val="1"/>
                <w:bCs w:val="1"/>
                <w:color w:val="auto"/>
                <w:w w:val="89"/>
              </w:rPr>
              <w:t>Payout</w:t>
            </w:r>
          </w:p>
        </w:tc>
        <w:tc>
          <w:tcPr>
            <w:tcW w:w="1200" w:type="dxa"/>
            <w:vAlign w:val="bottom"/>
            <w:tcBorders>
              <w:right w:val="single" w:sz="8" w:color="auto"/>
            </w:tcBorders>
            <w:shd w:val="clear" w:color="auto" w:fill="F7A800"/>
          </w:tcPr>
          <w:p>
            <w:pPr>
              <w:jc w:val="center"/>
              <w:ind w:right="79"/>
              <w:spacing w:after="0" w:line="149" w:lineRule="exact"/>
              <w:rPr>
                <w:sz w:val="20"/>
                <w:szCs w:val="20"/>
                <w:color w:val="auto"/>
              </w:rPr>
            </w:pPr>
            <w:r>
              <w:rPr>
                <w:rFonts w:ascii="Arial" w:cs="Arial" w:eastAsia="Arial" w:hAnsi="Arial"/>
                <w:sz w:val="14"/>
                <w:szCs w:val="14"/>
                <w:b w:val="1"/>
                <w:bCs w:val="1"/>
                <w:color w:val="auto"/>
                <w:w w:val="94"/>
              </w:rPr>
              <w:t>Payout</w:t>
            </w:r>
          </w:p>
        </w:tc>
        <w:tc>
          <w:tcPr>
            <w:tcW w:w="1320" w:type="dxa"/>
            <w:vAlign w:val="bottom"/>
            <w:tcBorders>
              <w:right w:val="single" w:sz="8" w:color="auto"/>
            </w:tcBorders>
            <w:shd w:val="clear" w:color="auto" w:fill="F7A800"/>
          </w:tcPr>
          <w:p>
            <w:pPr>
              <w:jc w:val="center"/>
              <w:ind w:right="79"/>
              <w:spacing w:after="0" w:line="149" w:lineRule="exact"/>
              <w:rPr>
                <w:sz w:val="20"/>
                <w:szCs w:val="20"/>
                <w:color w:val="auto"/>
              </w:rPr>
            </w:pPr>
            <w:r>
              <w:rPr>
                <w:rFonts w:ascii="Arial" w:cs="Arial" w:eastAsia="Arial" w:hAnsi="Arial"/>
                <w:sz w:val="14"/>
                <w:szCs w:val="14"/>
                <w:b w:val="1"/>
                <w:bCs w:val="1"/>
                <w:color w:val="auto"/>
                <w:w w:val="94"/>
              </w:rPr>
              <w:t>Payout</w:t>
            </w:r>
          </w:p>
        </w:tc>
        <w:tc>
          <w:tcPr>
            <w:tcW w:w="1300" w:type="dxa"/>
            <w:vAlign w:val="bottom"/>
            <w:tcBorders>
              <w:right w:val="single" w:sz="8" w:color="auto"/>
            </w:tcBorders>
            <w:shd w:val="clear" w:color="auto" w:fill="F7A800"/>
          </w:tcPr>
          <w:p>
            <w:pPr>
              <w:jc w:val="center"/>
              <w:ind w:right="78"/>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76"/>
        </w:trPr>
        <w:tc>
          <w:tcPr>
            <w:tcW w:w="2980" w:type="dxa"/>
            <w:vAlign w:val="bottom"/>
            <w:tcBorders>
              <w:left w:val="single" w:sz="8" w:color="auto"/>
              <w:bottom w:val="single" w:sz="8" w:color="auto"/>
              <w:right w:val="single" w:sz="8" w:color="auto"/>
            </w:tcBorders>
            <w:gridSpan w:val="2"/>
            <w:vMerge w:val="continue"/>
            <w:shd w:val="clear" w:color="auto" w:fill="F7A800"/>
          </w:tcPr>
          <w:p>
            <w:pPr>
              <w:spacing w:after="0"/>
              <w:rPr>
                <w:sz w:val="15"/>
                <w:szCs w:val="15"/>
                <w:color w:val="auto"/>
              </w:rPr>
            </w:pPr>
          </w:p>
        </w:tc>
        <w:tc>
          <w:tcPr>
            <w:tcW w:w="138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4"/>
                <w:szCs w:val="14"/>
                <w:b w:val="1"/>
                <w:bCs w:val="1"/>
                <w:color w:val="auto"/>
                <w:w w:val="96"/>
              </w:rPr>
              <w:t>Award)</w:t>
            </w:r>
          </w:p>
        </w:tc>
        <w:tc>
          <w:tcPr>
            <w:tcW w:w="1420" w:type="dxa"/>
            <w:vAlign w:val="bottom"/>
            <w:tcBorders>
              <w:bottom w:val="single" w:sz="8" w:color="auto"/>
              <w:right w:val="single" w:sz="8" w:color="auto"/>
            </w:tcBorders>
            <w:shd w:val="clear" w:color="auto" w:fill="F7A800"/>
          </w:tcPr>
          <w:p>
            <w:pPr>
              <w:jc w:val="center"/>
              <w:ind w:right="58"/>
              <w:spacing w:after="0"/>
              <w:rPr>
                <w:sz w:val="20"/>
                <w:szCs w:val="20"/>
                <w:color w:val="auto"/>
              </w:rPr>
            </w:pPr>
            <w:r>
              <w:rPr>
                <w:rFonts w:ascii="Arial" w:cs="Arial" w:eastAsia="Arial" w:hAnsi="Arial"/>
                <w:sz w:val="14"/>
                <w:szCs w:val="14"/>
                <w:b w:val="1"/>
                <w:bCs w:val="1"/>
                <w:color w:val="auto"/>
                <w:w w:val="97"/>
              </w:rPr>
              <w:t>Amount($)</w:t>
            </w:r>
          </w:p>
        </w:tc>
        <w:tc>
          <w:tcPr>
            <w:tcW w:w="1440" w:type="dxa"/>
            <w:vAlign w:val="bottom"/>
            <w:tcBorders>
              <w:bottom w:val="single" w:sz="8" w:color="auto"/>
              <w:right w:val="single" w:sz="8" w:color="auto"/>
            </w:tcBorders>
            <w:shd w:val="clear" w:color="auto" w:fill="F7A800"/>
          </w:tcPr>
          <w:p>
            <w:pPr>
              <w:jc w:val="center"/>
              <w:ind w:right="58"/>
              <w:spacing w:after="0"/>
              <w:rPr>
                <w:sz w:val="20"/>
                <w:szCs w:val="20"/>
                <w:color w:val="auto"/>
              </w:rPr>
            </w:pPr>
            <w:r>
              <w:rPr>
                <w:rFonts w:ascii="Arial" w:cs="Arial" w:eastAsia="Arial" w:hAnsi="Arial"/>
                <w:sz w:val="14"/>
                <w:szCs w:val="14"/>
                <w:b w:val="1"/>
                <w:bCs w:val="1"/>
                <w:color w:val="auto"/>
                <w:w w:val="94"/>
              </w:rPr>
              <w:t>Amount($)</w:t>
            </w:r>
          </w:p>
        </w:tc>
        <w:tc>
          <w:tcPr>
            <w:tcW w:w="1200" w:type="dxa"/>
            <w:vAlign w:val="bottom"/>
            <w:tcBorders>
              <w:bottom w:val="single" w:sz="8" w:color="auto"/>
              <w:right w:val="single" w:sz="8" w:color="auto"/>
            </w:tcBorders>
            <w:shd w:val="clear" w:color="auto" w:fill="F7A800"/>
          </w:tcPr>
          <w:p>
            <w:pPr>
              <w:jc w:val="center"/>
              <w:ind w:right="79"/>
              <w:spacing w:after="0"/>
              <w:rPr>
                <w:sz w:val="20"/>
                <w:szCs w:val="20"/>
                <w:color w:val="auto"/>
              </w:rPr>
            </w:pPr>
            <w:r>
              <w:rPr>
                <w:rFonts w:ascii="Arial" w:cs="Arial" w:eastAsia="Arial" w:hAnsi="Arial"/>
                <w:sz w:val="14"/>
                <w:szCs w:val="14"/>
                <w:b w:val="1"/>
                <w:bCs w:val="1"/>
                <w:color w:val="auto"/>
                <w:w w:val="97"/>
              </w:rPr>
              <w:t>Amount($)</w:t>
            </w:r>
          </w:p>
        </w:tc>
        <w:tc>
          <w:tcPr>
            <w:tcW w:w="1320" w:type="dxa"/>
            <w:vAlign w:val="bottom"/>
            <w:tcBorders>
              <w:bottom w:val="single" w:sz="8" w:color="auto"/>
              <w:right w:val="single" w:sz="8" w:color="auto"/>
            </w:tcBorders>
            <w:shd w:val="clear" w:color="auto" w:fill="F7A800"/>
          </w:tcPr>
          <w:p>
            <w:pPr>
              <w:jc w:val="center"/>
              <w:ind w:right="79"/>
              <w:spacing w:after="0"/>
              <w:rPr>
                <w:sz w:val="20"/>
                <w:szCs w:val="20"/>
                <w:color w:val="auto"/>
              </w:rPr>
            </w:pPr>
            <w:r>
              <w:rPr>
                <w:rFonts w:ascii="Arial" w:cs="Arial" w:eastAsia="Arial" w:hAnsi="Arial"/>
                <w:sz w:val="14"/>
                <w:szCs w:val="14"/>
                <w:b w:val="1"/>
                <w:bCs w:val="1"/>
                <w:color w:val="auto"/>
                <w:w w:val="97"/>
              </w:rPr>
              <w:t>Amount($)</w:t>
            </w:r>
          </w:p>
        </w:tc>
        <w:tc>
          <w:tcPr>
            <w:tcW w:w="1300" w:type="dxa"/>
            <w:vAlign w:val="bottom"/>
            <w:tcBorders>
              <w:bottom w:val="single" w:sz="8" w:color="auto"/>
              <w:right w:val="single" w:sz="8" w:color="auto"/>
            </w:tcBorders>
            <w:shd w:val="clear" w:color="auto" w:fill="F7A800"/>
          </w:tcPr>
          <w:p>
            <w:pPr>
              <w:jc w:val="center"/>
              <w:ind w:right="78"/>
              <w:spacing w:after="0"/>
              <w:rPr>
                <w:sz w:val="20"/>
                <w:szCs w:val="20"/>
                <w:color w:val="auto"/>
              </w:rPr>
            </w:pPr>
            <w:r>
              <w:rPr>
                <w:rFonts w:ascii="Arial" w:cs="Arial" w:eastAsia="Arial" w:hAnsi="Arial"/>
                <w:sz w:val="14"/>
                <w:szCs w:val="14"/>
                <w:b w:val="1"/>
                <w:bCs w:val="1"/>
                <w:color w:val="auto"/>
                <w:w w:val="94"/>
              </w:rPr>
              <w:t>Amount($)(1)</w:t>
            </w:r>
          </w:p>
        </w:tc>
        <w:tc>
          <w:tcPr>
            <w:tcW w:w="0" w:type="dxa"/>
            <w:vAlign w:val="bottom"/>
          </w:tcPr>
          <w:p>
            <w:pPr>
              <w:spacing w:after="0"/>
              <w:rPr>
                <w:sz w:val="1"/>
                <w:szCs w:val="1"/>
                <w:color w:val="auto"/>
              </w:rPr>
            </w:pPr>
          </w:p>
        </w:tc>
      </w:tr>
      <w:tr>
        <w:trPr>
          <w:trHeight w:val="268"/>
        </w:trPr>
        <w:tc>
          <w:tcPr>
            <w:tcW w:w="2980" w:type="dxa"/>
            <w:vAlign w:val="bottom"/>
            <w:tcBorders>
              <w:left w:val="single" w:sz="8" w:color="auto"/>
              <w:bottom w:val="single" w:sz="8" w:color="F7A800"/>
              <w:right w:val="single" w:sz="8" w:color="auto"/>
            </w:tcBorders>
            <w:gridSpan w:val="2"/>
            <w:shd w:val="clear" w:color="auto" w:fill="F7A800"/>
          </w:tcPr>
          <w:p>
            <w:pPr>
              <w:jc w:val="center"/>
              <w:ind w:left="55"/>
              <w:spacing w:after="0"/>
              <w:rPr>
                <w:sz w:val="20"/>
                <w:szCs w:val="20"/>
                <w:color w:val="auto"/>
              </w:rPr>
            </w:pPr>
            <w:r>
              <w:rPr>
                <w:rFonts w:ascii="Arial" w:cs="Arial" w:eastAsia="Arial" w:hAnsi="Arial"/>
                <w:sz w:val="18"/>
                <w:szCs w:val="18"/>
                <w:color w:val="auto"/>
                <w:w w:val="89"/>
              </w:rPr>
              <w:t>Threshold</w:t>
            </w:r>
          </w:p>
        </w:tc>
        <w:tc>
          <w:tcPr>
            <w:tcW w:w="1380" w:type="dxa"/>
            <w:vAlign w:val="bottom"/>
            <w:tcBorders>
              <w:bottom w:val="single" w:sz="8" w:color="F7A800"/>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94"/>
              </w:rPr>
              <w:t>50%</w:t>
            </w:r>
          </w:p>
        </w:tc>
        <w:tc>
          <w:tcPr>
            <w:tcW w:w="1420" w:type="dxa"/>
            <w:vAlign w:val="bottom"/>
            <w:tcBorders>
              <w:bottom w:val="single" w:sz="8" w:color="F7A800"/>
              <w:right w:val="single" w:sz="8" w:color="auto"/>
            </w:tcBorders>
            <w:shd w:val="clear" w:color="auto" w:fill="F7A800"/>
          </w:tcPr>
          <w:p>
            <w:pPr>
              <w:jc w:val="right"/>
              <w:ind w:right="158"/>
              <w:spacing w:after="0"/>
              <w:rPr>
                <w:sz w:val="20"/>
                <w:szCs w:val="20"/>
                <w:color w:val="auto"/>
              </w:rPr>
            </w:pPr>
            <w:r>
              <w:rPr>
                <w:rFonts w:ascii="Arial" w:cs="Arial" w:eastAsia="Arial" w:hAnsi="Arial"/>
                <w:sz w:val="18"/>
                <w:szCs w:val="18"/>
                <w:color w:val="auto"/>
              </w:rPr>
              <w:t>687,500</w:t>
            </w:r>
          </w:p>
        </w:tc>
        <w:tc>
          <w:tcPr>
            <w:tcW w:w="1440" w:type="dxa"/>
            <w:vAlign w:val="bottom"/>
            <w:tcBorders>
              <w:bottom w:val="single" w:sz="8" w:color="F7A800"/>
              <w:right w:val="single" w:sz="8" w:color="auto"/>
            </w:tcBorders>
            <w:shd w:val="clear" w:color="auto" w:fill="F7A800"/>
          </w:tcPr>
          <w:p>
            <w:pPr>
              <w:jc w:val="right"/>
              <w:ind w:right="158"/>
              <w:spacing w:after="0"/>
              <w:rPr>
                <w:sz w:val="20"/>
                <w:szCs w:val="20"/>
                <w:color w:val="auto"/>
              </w:rPr>
            </w:pPr>
            <w:r>
              <w:rPr>
                <w:rFonts w:ascii="Arial" w:cs="Arial" w:eastAsia="Arial" w:hAnsi="Arial"/>
                <w:sz w:val="18"/>
                <w:szCs w:val="18"/>
                <w:color w:val="auto"/>
              </w:rPr>
              <w:t>1,200,000</w:t>
            </w:r>
          </w:p>
        </w:tc>
        <w:tc>
          <w:tcPr>
            <w:tcW w:w="1200" w:type="dxa"/>
            <w:vAlign w:val="bottom"/>
            <w:tcBorders>
              <w:bottom w:val="single" w:sz="8" w:color="F7A800"/>
              <w:right w:val="single" w:sz="8" w:color="auto"/>
            </w:tcBorders>
            <w:shd w:val="clear" w:color="auto" w:fill="F7A800"/>
          </w:tcPr>
          <w:p>
            <w:pPr>
              <w:jc w:val="right"/>
              <w:ind w:right="159"/>
              <w:spacing w:after="0"/>
              <w:rPr>
                <w:sz w:val="20"/>
                <w:szCs w:val="20"/>
                <w:color w:val="auto"/>
              </w:rPr>
            </w:pPr>
            <w:r>
              <w:rPr>
                <w:rFonts w:ascii="Arial" w:cs="Arial" w:eastAsia="Arial" w:hAnsi="Arial"/>
                <w:sz w:val="18"/>
                <w:szCs w:val="18"/>
                <w:color w:val="auto"/>
              </w:rPr>
              <w:t>625,000</w:t>
            </w:r>
          </w:p>
        </w:tc>
        <w:tc>
          <w:tcPr>
            <w:tcW w:w="1320" w:type="dxa"/>
            <w:vAlign w:val="bottom"/>
            <w:tcBorders>
              <w:bottom w:val="single" w:sz="8" w:color="F7A800"/>
              <w:right w:val="single" w:sz="8" w:color="auto"/>
            </w:tcBorders>
            <w:shd w:val="clear" w:color="auto" w:fill="F7A800"/>
          </w:tcPr>
          <w:p>
            <w:pPr>
              <w:jc w:val="right"/>
              <w:ind w:right="159"/>
              <w:spacing w:after="0"/>
              <w:rPr>
                <w:sz w:val="20"/>
                <w:szCs w:val="20"/>
                <w:color w:val="auto"/>
              </w:rPr>
            </w:pPr>
            <w:r>
              <w:rPr>
                <w:rFonts w:ascii="Arial" w:cs="Arial" w:eastAsia="Arial" w:hAnsi="Arial"/>
                <w:sz w:val="18"/>
                <w:szCs w:val="18"/>
                <w:color w:val="auto"/>
              </w:rPr>
              <w:t>225,000</w:t>
            </w:r>
          </w:p>
        </w:tc>
        <w:tc>
          <w:tcPr>
            <w:tcW w:w="1300" w:type="dxa"/>
            <w:vAlign w:val="bottom"/>
            <w:tcBorders>
              <w:bottom w:val="single" w:sz="8" w:color="F7A800"/>
              <w:right w:val="single" w:sz="8" w:color="auto"/>
            </w:tcBorders>
            <w:shd w:val="clear" w:color="auto" w:fill="F7A800"/>
          </w:tcPr>
          <w:p>
            <w:pPr>
              <w:jc w:val="right"/>
              <w:ind w:right="158"/>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68"/>
        </w:trPr>
        <w:tc>
          <w:tcPr>
            <w:tcW w:w="1220" w:type="dxa"/>
            <w:vAlign w:val="bottom"/>
            <w:tcBorders>
              <w:top w:val="single" w:sz="8" w:color="auto"/>
              <w:left w:val="single" w:sz="8" w:color="auto"/>
              <w:bottom w:val="single" w:sz="8" w:color="F7A800"/>
            </w:tcBorders>
            <w:shd w:val="clear" w:color="auto" w:fill="F7A800"/>
          </w:tcPr>
          <w:p>
            <w:pPr>
              <w:spacing w:after="0"/>
              <w:rPr>
                <w:sz w:val="22"/>
                <w:szCs w:val="22"/>
                <w:color w:val="auto"/>
              </w:rPr>
            </w:pPr>
          </w:p>
        </w:tc>
        <w:tc>
          <w:tcPr>
            <w:tcW w:w="1760" w:type="dxa"/>
            <w:vAlign w:val="bottom"/>
            <w:tcBorders>
              <w:top w:val="single" w:sz="8" w:color="auto"/>
              <w:bottom w:val="single" w:sz="8" w:color="F7A800"/>
              <w:right w:val="single" w:sz="8" w:color="auto"/>
            </w:tcBorders>
            <w:shd w:val="clear" w:color="auto" w:fill="F7A800"/>
          </w:tcPr>
          <w:p>
            <w:pPr>
              <w:jc w:val="center"/>
              <w:ind w:right="990"/>
              <w:spacing w:after="0"/>
              <w:rPr>
                <w:sz w:val="20"/>
                <w:szCs w:val="20"/>
                <w:color w:val="auto"/>
              </w:rPr>
            </w:pPr>
            <w:r>
              <w:rPr>
                <w:rFonts w:ascii="Arial" w:cs="Arial" w:eastAsia="Arial" w:hAnsi="Arial"/>
                <w:sz w:val="18"/>
                <w:szCs w:val="18"/>
                <w:color w:val="auto"/>
                <w:w w:val="84"/>
              </w:rPr>
              <w:t>Target</w:t>
            </w:r>
          </w:p>
        </w:tc>
        <w:tc>
          <w:tcPr>
            <w:tcW w:w="1380" w:type="dxa"/>
            <w:vAlign w:val="bottom"/>
            <w:tcBorders>
              <w:top w:val="single" w:sz="8" w:color="auto"/>
              <w:bottom w:val="single" w:sz="8" w:color="F7A800"/>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91"/>
              </w:rPr>
              <w:t>100%</w:t>
            </w:r>
          </w:p>
        </w:tc>
        <w:tc>
          <w:tcPr>
            <w:tcW w:w="1420" w:type="dxa"/>
            <w:vAlign w:val="bottom"/>
            <w:tcBorders>
              <w:top w:val="single" w:sz="8" w:color="auto"/>
              <w:bottom w:val="single" w:sz="8" w:color="F7A800"/>
              <w:right w:val="single" w:sz="8" w:color="auto"/>
            </w:tcBorders>
            <w:shd w:val="clear" w:color="auto" w:fill="F7A800"/>
          </w:tcPr>
          <w:p>
            <w:pPr>
              <w:jc w:val="right"/>
              <w:ind w:right="158"/>
              <w:spacing w:after="0"/>
              <w:rPr>
                <w:sz w:val="20"/>
                <w:szCs w:val="20"/>
                <w:color w:val="auto"/>
              </w:rPr>
            </w:pPr>
            <w:r>
              <w:rPr>
                <w:rFonts w:ascii="Arial" w:cs="Arial" w:eastAsia="Arial" w:hAnsi="Arial"/>
                <w:sz w:val="18"/>
                <w:szCs w:val="18"/>
                <w:color w:val="auto"/>
              </w:rPr>
              <w:t>1,375,000</w:t>
            </w:r>
          </w:p>
        </w:tc>
        <w:tc>
          <w:tcPr>
            <w:tcW w:w="1440" w:type="dxa"/>
            <w:vAlign w:val="bottom"/>
            <w:tcBorders>
              <w:top w:val="single" w:sz="8" w:color="auto"/>
              <w:bottom w:val="single" w:sz="8" w:color="F7A800"/>
              <w:right w:val="single" w:sz="8" w:color="auto"/>
            </w:tcBorders>
            <w:shd w:val="clear" w:color="auto" w:fill="F7A800"/>
          </w:tcPr>
          <w:p>
            <w:pPr>
              <w:jc w:val="right"/>
              <w:ind w:right="158"/>
              <w:spacing w:after="0"/>
              <w:rPr>
                <w:sz w:val="20"/>
                <w:szCs w:val="20"/>
                <w:color w:val="auto"/>
              </w:rPr>
            </w:pPr>
            <w:r>
              <w:rPr>
                <w:rFonts w:ascii="Arial" w:cs="Arial" w:eastAsia="Arial" w:hAnsi="Arial"/>
                <w:sz w:val="18"/>
                <w:szCs w:val="18"/>
                <w:color w:val="auto"/>
              </w:rPr>
              <w:t>2,400,000</w:t>
            </w:r>
          </w:p>
        </w:tc>
        <w:tc>
          <w:tcPr>
            <w:tcW w:w="1200" w:type="dxa"/>
            <w:vAlign w:val="bottom"/>
            <w:tcBorders>
              <w:top w:val="single" w:sz="8" w:color="auto"/>
              <w:bottom w:val="single" w:sz="8" w:color="F7A800"/>
              <w:right w:val="single" w:sz="8" w:color="auto"/>
            </w:tcBorders>
            <w:shd w:val="clear" w:color="auto" w:fill="F7A800"/>
          </w:tcPr>
          <w:p>
            <w:pPr>
              <w:jc w:val="right"/>
              <w:ind w:right="159"/>
              <w:spacing w:after="0"/>
              <w:rPr>
                <w:sz w:val="20"/>
                <w:szCs w:val="20"/>
                <w:color w:val="auto"/>
              </w:rPr>
            </w:pPr>
            <w:r>
              <w:rPr>
                <w:rFonts w:ascii="Arial" w:cs="Arial" w:eastAsia="Arial" w:hAnsi="Arial"/>
                <w:sz w:val="18"/>
                <w:szCs w:val="18"/>
                <w:color w:val="auto"/>
              </w:rPr>
              <w:t>1,250,000</w:t>
            </w:r>
          </w:p>
        </w:tc>
        <w:tc>
          <w:tcPr>
            <w:tcW w:w="1320" w:type="dxa"/>
            <w:vAlign w:val="bottom"/>
            <w:tcBorders>
              <w:top w:val="single" w:sz="8" w:color="auto"/>
              <w:bottom w:val="single" w:sz="8" w:color="F7A800"/>
              <w:right w:val="single" w:sz="8" w:color="auto"/>
            </w:tcBorders>
            <w:shd w:val="clear" w:color="auto" w:fill="F7A800"/>
          </w:tcPr>
          <w:p>
            <w:pPr>
              <w:jc w:val="right"/>
              <w:ind w:right="159"/>
              <w:spacing w:after="0"/>
              <w:rPr>
                <w:sz w:val="20"/>
                <w:szCs w:val="20"/>
                <w:color w:val="auto"/>
              </w:rPr>
            </w:pPr>
            <w:r>
              <w:rPr>
                <w:rFonts w:ascii="Arial" w:cs="Arial" w:eastAsia="Arial" w:hAnsi="Arial"/>
                <w:sz w:val="18"/>
                <w:szCs w:val="18"/>
                <w:color w:val="auto"/>
              </w:rPr>
              <w:t>450,000</w:t>
            </w:r>
          </w:p>
        </w:tc>
        <w:tc>
          <w:tcPr>
            <w:tcW w:w="1300" w:type="dxa"/>
            <w:vAlign w:val="bottom"/>
            <w:tcBorders>
              <w:top w:val="single" w:sz="8" w:color="auto"/>
              <w:bottom w:val="single" w:sz="8" w:color="F7A800"/>
              <w:right w:val="single" w:sz="8" w:color="auto"/>
            </w:tcBorders>
            <w:shd w:val="clear" w:color="auto" w:fill="F7A800"/>
          </w:tcPr>
          <w:p>
            <w:pPr>
              <w:jc w:val="right"/>
              <w:ind w:right="158"/>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68"/>
        </w:trPr>
        <w:tc>
          <w:tcPr>
            <w:tcW w:w="2980" w:type="dxa"/>
            <w:vAlign w:val="bottom"/>
            <w:tcBorders>
              <w:top w:val="single" w:sz="8" w:color="auto"/>
              <w:left w:val="single" w:sz="8" w:color="auto"/>
              <w:bottom w:val="single" w:sz="8" w:color="F7A800"/>
              <w:right w:val="single" w:sz="8" w:color="auto"/>
            </w:tcBorders>
            <w:gridSpan w:val="2"/>
            <w:shd w:val="clear" w:color="auto" w:fill="F7A800"/>
          </w:tcPr>
          <w:p>
            <w:pPr>
              <w:jc w:val="center"/>
              <w:ind w:left="55"/>
              <w:spacing w:after="0"/>
              <w:rPr>
                <w:sz w:val="20"/>
                <w:szCs w:val="20"/>
                <w:color w:val="auto"/>
              </w:rPr>
            </w:pPr>
            <w:r>
              <w:rPr>
                <w:rFonts w:ascii="Arial" w:cs="Arial" w:eastAsia="Arial" w:hAnsi="Arial"/>
                <w:sz w:val="18"/>
                <w:szCs w:val="18"/>
                <w:color w:val="auto"/>
                <w:w w:val="97"/>
              </w:rPr>
              <w:t>Maximum</w:t>
            </w:r>
          </w:p>
        </w:tc>
        <w:tc>
          <w:tcPr>
            <w:tcW w:w="1380" w:type="dxa"/>
            <w:vAlign w:val="bottom"/>
            <w:tcBorders>
              <w:top w:val="single" w:sz="8" w:color="auto"/>
              <w:bottom w:val="single" w:sz="8" w:color="F7A800"/>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91"/>
              </w:rPr>
              <w:t>200%</w:t>
            </w:r>
          </w:p>
        </w:tc>
        <w:tc>
          <w:tcPr>
            <w:tcW w:w="1420" w:type="dxa"/>
            <w:vAlign w:val="bottom"/>
            <w:tcBorders>
              <w:top w:val="single" w:sz="8" w:color="auto"/>
              <w:bottom w:val="single" w:sz="8" w:color="F7A800"/>
              <w:right w:val="single" w:sz="8" w:color="auto"/>
            </w:tcBorders>
            <w:shd w:val="clear" w:color="auto" w:fill="F7A800"/>
          </w:tcPr>
          <w:p>
            <w:pPr>
              <w:jc w:val="right"/>
              <w:ind w:right="158"/>
              <w:spacing w:after="0"/>
              <w:rPr>
                <w:sz w:val="20"/>
                <w:szCs w:val="20"/>
                <w:color w:val="auto"/>
              </w:rPr>
            </w:pPr>
            <w:r>
              <w:rPr>
                <w:rFonts w:ascii="Arial" w:cs="Arial" w:eastAsia="Arial" w:hAnsi="Arial"/>
                <w:sz w:val="18"/>
                <w:szCs w:val="18"/>
                <w:color w:val="auto"/>
              </w:rPr>
              <w:t>2,750,000</w:t>
            </w:r>
          </w:p>
        </w:tc>
        <w:tc>
          <w:tcPr>
            <w:tcW w:w="1440" w:type="dxa"/>
            <w:vAlign w:val="bottom"/>
            <w:tcBorders>
              <w:top w:val="single" w:sz="8" w:color="auto"/>
              <w:bottom w:val="single" w:sz="8" w:color="F7A800"/>
              <w:right w:val="single" w:sz="8" w:color="auto"/>
            </w:tcBorders>
            <w:shd w:val="clear" w:color="auto" w:fill="F7A800"/>
          </w:tcPr>
          <w:p>
            <w:pPr>
              <w:jc w:val="right"/>
              <w:ind w:right="158"/>
              <w:spacing w:after="0"/>
              <w:rPr>
                <w:sz w:val="20"/>
                <w:szCs w:val="20"/>
                <w:color w:val="auto"/>
              </w:rPr>
            </w:pPr>
            <w:r>
              <w:rPr>
                <w:rFonts w:ascii="Arial" w:cs="Arial" w:eastAsia="Arial" w:hAnsi="Arial"/>
                <w:sz w:val="18"/>
                <w:szCs w:val="18"/>
                <w:color w:val="auto"/>
              </w:rPr>
              <w:t>4,800,000</w:t>
            </w:r>
          </w:p>
        </w:tc>
        <w:tc>
          <w:tcPr>
            <w:tcW w:w="1200" w:type="dxa"/>
            <w:vAlign w:val="bottom"/>
            <w:tcBorders>
              <w:top w:val="single" w:sz="8" w:color="auto"/>
              <w:bottom w:val="single" w:sz="8" w:color="F7A800"/>
              <w:right w:val="single" w:sz="8" w:color="auto"/>
            </w:tcBorders>
            <w:shd w:val="clear" w:color="auto" w:fill="F7A800"/>
          </w:tcPr>
          <w:p>
            <w:pPr>
              <w:jc w:val="right"/>
              <w:ind w:right="159"/>
              <w:spacing w:after="0"/>
              <w:rPr>
                <w:sz w:val="20"/>
                <w:szCs w:val="20"/>
                <w:color w:val="auto"/>
              </w:rPr>
            </w:pPr>
            <w:r>
              <w:rPr>
                <w:rFonts w:ascii="Arial" w:cs="Arial" w:eastAsia="Arial" w:hAnsi="Arial"/>
                <w:sz w:val="18"/>
                <w:szCs w:val="18"/>
                <w:color w:val="auto"/>
              </w:rPr>
              <w:t>2,500,000</w:t>
            </w:r>
          </w:p>
        </w:tc>
        <w:tc>
          <w:tcPr>
            <w:tcW w:w="1320" w:type="dxa"/>
            <w:vAlign w:val="bottom"/>
            <w:tcBorders>
              <w:top w:val="single" w:sz="8" w:color="auto"/>
              <w:bottom w:val="single" w:sz="8" w:color="F7A800"/>
              <w:right w:val="single" w:sz="8" w:color="auto"/>
            </w:tcBorders>
            <w:shd w:val="clear" w:color="auto" w:fill="F7A800"/>
          </w:tcPr>
          <w:p>
            <w:pPr>
              <w:jc w:val="right"/>
              <w:ind w:right="159"/>
              <w:spacing w:after="0"/>
              <w:rPr>
                <w:sz w:val="20"/>
                <w:szCs w:val="20"/>
                <w:color w:val="auto"/>
              </w:rPr>
            </w:pPr>
            <w:r>
              <w:rPr>
                <w:rFonts w:ascii="Arial" w:cs="Arial" w:eastAsia="Arial" w:hAnsi="Arial"/>
                <w:sz w:val="18"/>
                <w:szCs w:val="18"/>
                <w:color w:val="auto"/>
              </w:rPr>
              <w:t>900,000</w:t>
            </w:r>
          </w:p>
        </w:tc>
        <w:tc>
          <w:tcPr>
            <w:tcW w:w="1300" w:type="dxa"/>
            <w:vAlign w:val="bottom"/>
            <w:tcBorders>
              <w:top w:val="single" w:sz="8" w:color="auto"/>
              <w:bottom w:val="single" w:sz="8" w:color="F7A800"/>
              <w:right w:val="single" w:sz="8" w:color="auto"/>
            </w:tcBorders>
            <w:shd w:val="clear" w:color="auto" w:fill="F7A800"/>
          </w:tcPr>
          <w:p>
            <w:pPr>
              <w:jc w:val="right"/>
              <w:ind w:right="158"/>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68"/>
        </w:trPr>
        <w:tc>
          <w:tcPr>
            <w:tcW w:w="2980" w:type="dxa"/>
            <w:vAlign w:val="bottom"/>
            <w:tcBorders>
              <w:top w:val="single" w:sz="8" w:color="auto"/>
              <w:left w:val="single" w:sz="8" w:color="auto"/>
              <w:bottom w:val="single" w:sz="8" w:color="FBD37F"/>
              <w:right w:val="single" w:sz="8" w:color="auto"/>
            </w:tcBorders>
            <w:gridSpan w:val="2"/>
            <w:shd w:val="clear" w:color="auto" w:fill="FBD37F"/>
          </w:tcPr>
          <w:p>
            <w:pPr>
              <w:jc w:val="center"/>
              <w:ind w:left="55"/>
              <w:spacing w:after="0"/>
              <w:rPr>
                <w:sz w:val="20"/>
                <w:szCs w:val="20"/>
                <w:color w:val="auto"/>
              </w:rPr>
            </w:pPr>
            <w:r>
              <w:rPr>
                <w:rFonts w:ascii="Arial" w:cs="Arial" w:eastAsia="Arial" w:hAnsi="Arial"/>
                <w:sz w:val="18"/>
                <w:szCs w:val="18"/>
                <w:color w:val="auto"/>
                <w:w w:val="93"/>
              </w:rPr>
              <w:t>Actual (2)</w:t>
            </w:r>
          </w:p>
        </w:tc>
        <w:tc>
          <w:tcPr>
            <w:tcW w:w="1380" w:type="dxa"/>
            <w:vAlign w:val="bottom"/>
            <w:tcBorders>
              <w:top w:val="single" w:sz="8" w:color="auto"/>
              <w:bottom w:val="single" w:sz="8" w:color="FBD37F"/>
              <w:right w:val="single" w:sz="8" w:color="auto"/>
            </w:tcBorders>
            <w:shd w:val="clear" w:color="auto" w:fill="FBD37F"/>
          </w:tcPr>
          <w:p>
            <w:pPr>
              <w:jc w:val="center"/>
              <w:spacing w:after="0"/>
              <w:rPr>
                <w:sz w:val="20"/>
                <w:szCs w:val="20"/>
                <w:color w:val="auto"/>
              </w:rPr>
            </w:pPr>
            <w:r>
              <w:rPr>
                <w:rFonts w:ascii="Arial" w:cs="Arial" w:eastAsia="Arial" w:hAnsi="Arial"/>
                <w:sz w:val="18"/>
                <w:szCs w:val="18"/>
                <w:color w:val="auto"/>
                <w:w w:val="90"/>
              </w:rPr>
              <w:t>82.5%</w:t>
            </w:r>
          </w:p>
        </w:tc>
        <w:tc>
          <w:tcPr>
            <w:tcW w:w="1420" w:type="dxa"/>
            <w:vAlign w:val="bottom"/>
            <w:tcBorders>
              <w:top w:val="single" w:sz="8" w:color="auto"/>
              <w:bottom w:val="single" w:sz="8" w:color="FBD37F"/>
              <w:right w:val="single" w:sz="8" w:color="auto"/>
            </w:tcBorders>
            <w:shd w:val="clear" w:color="auto" w:fill="FBD37F"/>
          </w:tcPr>
          <w:p>
            <w:pPr>
              <w:jc w:val="right"/>
              <w:ind w:right="158"/>
              <w:spacing w:after="0"/>
              <w:rPr>
                <w:sz w:val="20"/>
                <w:szCs w:val="20"/>
                <w:color w:val="auto"/>
              </w:rPr>
            </w:pPr>
            <w:r>
              <w:rPr>
                <w:rFonts w:ascii="Arial" w:cs="Arial" w:eastAsia="Arial" w:hAnsi="Arial"/>
                <w:sz w:val="18"/>
                <w:szCs w:val="18"/>
                <w:color w:val="auto"/>
              </w:rPr>
              <w:t>1,134,375</w:t>
            </w:r>
          </w:p>
        </w:tc>
        <w:tc>
          <w:tcPr>
            <w:tcW w:w="1440" w:type="dxa"/>
            <w:vAlign w:val="bottom"/>
            <w:tcBorders>
              <w:top w:val="single" w:sz="8" w:color="auto"/>
              <w:bottom w:val="single" w:sz="8" w:color="FBD37F"/>
              <w:right w:val="single" w:sz="8" w:color="auto"/>
            </w:tcBorders>
            <w:shd w:val="clear" w:color="auto" w:fill="FBD37F"/>
          </w:tcPr>
          <w:p>
            <w:pPr>
              <w:jc w:val="right"/>
              <w:ind w:right="158"/>
              <w:spacing w:after="0"/>
              <w:rPr>
                <w:sz w:val="20"/>
                <w:szCs w:val="20"/>
                <w:color w:val="auto"/>
              </w:rPr>
            </w:pPr>
            <w:r>
              <w:rPr>
                <w:rFonts w:ascii="Arial" w:cs="Arial" w:eastAsia="Arial" w:hAnsi="Arial"/>
                <w:sz w:val="18"/>
                <w:szCs w:val="18"/>
                <w:color w:val="auto"/>
              </w:rPr>
              <w:t>1,980,000</w:t>
            </w:r>
          </w:p>
        </w:tc>
        <w:tc>
          <w:tcPr>
            <w:tcW w:w="1200" w:type="dxa"/>
            <w:vAlign w:val="bottom"/>
            <w:tcBorders>
              <w:top w:val="single" w:sz="8" w:color="auto"/>
              <w:bottom w:val="single" w:sz="8" w:color="FBD37F"/>
              <w:right w:val="single" w:sz="8" w:color="auto"/>
            </w:tcBorders>
            <w:shd w:val="clear" w:color="auto" w:fill="FBD37F"/>
          </w:tcPr>
          <w:p>
            <w:pPr>
              <w:jc w:val="right"/>
              <w:ind w:right="159"/>
              <w:spacing w:after="0"/>
              <w:rPr>
                <w:sz w:val="20"/>
                <w:szCs w:val="20"/>
                <w:color w:val="auto"/>
              </w:rPr>
            </w:pPr>
            <w:r>
              <w:rPr>
                <w:rFonts w:ascii="Arial" w:cs="Arial" w:eastAsia="Arial" w:hAnsi="Arial"/>
                <w:sz w:val="18"/>
                <w:szCs w:val="18"/>
                <w:color w:val="auto"/>
              </w:rPr>
              <w:t>1,031,250</w:t>
            </w:r>
          </w:p>
        </w:tc>
        <w:tc>
          <w:tcPr>
            <w:tcW w:w="1320" w:type="dxa"/>
            <w:vAlign w:val="bottom"/>
            <w:tcBorders>
              <w:top w:val="single" w:sz="8" w:color="auto"/>
              <w:bottom w:val="single" w:sz="8" w:color="FBD37F"/>
              <w:right w:val="single" w:sz="8" w:color="auto"/>
            </w:tcBorders>
            <w:shd w:val="clear" w:color="auto" w:fill="FBD37F"/>
          </w:tcPr>
          <w:p>
            <w:pPr>
              <w:jc w:val="right"/>
              <w:ind w:right="159"/>
              <w:spacing w:after="0"/>
              <w:rPr>
                <w:sz w:val="20"/>
                <w:szCs w:val="20"/>
                <w:color w:val="auto"/>
              </w:rPr>
            </w:pPr>
            <w:r>
              <w:rPr>
                <w:rFonts w:ascii="Arial" w:cs="Arial" w:eastAsia="Arial" w:hAnsi="Arial"/>
                <w:sz w:val="18"/>
                <w:szCs w:val="18"/>
                <w:color w:val="auto"/>
              </w:rPr>
              <w:t>371,250</w:t>
            </w:r>
          </w:p>
        </w:tc>
        <w:tc>
          <w:tcPr>
            <w:tcW w:w="1300" w:type="dxa"/>
            <w:vAlign w:val="bottom"/>
            <w:tcBorders>
              <w:top w:val="single" w:sz="8" w:color="auto"/>
              <w:bottom w:val="single" w:sz="8" w:color="FBD37F"/>
              <w:right w:val="single" w:sz="8" w:color="auto"/>
            </w:tcBorders>
            <w:shd w:val="clear" w:color="auto" w:fill="FBD37F"/>
          </w:tcPr>
          <w:p>
            <w:pPr>
              <w:jc w:val="right"/>
              <w:ind w:right="158"/>
              <w:spacing w:after="0"/>
              <w:rPr>
                <w:sz w:val="20"/>
                <w:szCs w:val="20"/>
                <w:color w:val="auto"/>
              </w:rPr>
            </w:pPr>
            <w:r>
              <w:rPr>
                <w:rFonts w:ascii="Arial" w:cs="Arial" w:eastAsia="Arial" w:hAnsi="Arial"/>
                <w:sz w:val="18"/>
                <w:szCs w:val="18"/>
                <w:color w:val="auto"/>
              </w:rPr>
              <w:t>412,500</w:t>
            </w:r>
          </w:p>
        </w:tc>
        <w:tc>
          <w:tcPr>
            <w:tcW w:w="0" w:type="dxa"/>
            <w:vAlign w:val="bottom"/>
          </w:tcPr>
          <w:p>
            <w:pPr>
              <w:spacing w:after="0"/>
              <w:rPr>
                <w:sz w:val="1"/>
                <w:szCs w:val="1"/>
                <w:color w:val="auto"/>
              </w:rPr>
            </w:pPr>
          </w:p>
        </w:tc>
      </w:tr>
      <w:tr>
        <w:trPr>
          <w:trHeight w:val="129"/>
        </w:trPr>
        <w:tc>
          <w:tcPr>
            <w:tcW w:w="1220" w:type="dxa"/>
            <w:vAlign w:val="bottom"/>
            <w:tcBorders>
              <w:top w:val="single" w:sz="8" w:color="auto"/>
              <w:bottom w:val="single" w:sz="8" w:color="auto"/>
            </w:tcBorders>
          </w:tcPr>
          <w:p>
            <w:pPr>
              <w:spacing w:after="0"/>
              <w:rPr>
                <w:sz w:val="11"/>
                <w:szCs w:val="11"/>
                <w:color w:val="auto"/>
              </w:rPr>
            </w:pPr>
          </w:p>
        </w:tc>
        <w:tc>
          <w:tcPr>
            <w:tcW w:w="17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Yunker’s payout opportunity was pro-rated based on his start date of May 2, 2019.</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Payout based on 96.5% adjusted EBITDA achievement.</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Our 2015 Equity Incentive Plan (as amended and restated, the “Plan”) allows us to grant incentive stock options, nonqualified stock options, stock appreciation rights, restricted stock awards, restricted stock unit awards, performance awards, other stock-based awards, and performance compensation awards. The Compensation Committee utilizes long-term incentive value of 50% restricted stock units (“RSUs”) with three-year cliff vesting to re-enforce retention objectives and 50% performance-based RSUs to re-enforce our strategic business plan (“PSUs”).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Regular Equity Grants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Consistent with the independent competitive market data review discussed earlier for salary and annual incentives, the Compensation Committee approved increases to long-term incentive targets to move our NEOs closer to the 50th percentile for total compensation opportunity and account for significant leadership promotions for Mr. Reeg and Mr. Anthony Carano.</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Compensation Committee set individual target long-term incentive award opportunities for the named executive officers that were based on a percentage of each NEO’s base salary as follows: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39"/>
        </w:trPr>
        <w:tc>
          <w:tcPr>
            <w:tcW w:w="460" w:type="dxa"/>
            <w:vAlign w:val="bottom"/>
            <w:tcBorders>
              <w:right w:val="single" w:sz="8" w:color="auto"/>
            </w:tcBorders>
          </w:tcPr>
          <w:p>
            <w:pPr>
              <w:spacing w:after="0"/>
              <w:rPr>
                <w:sz w:val="12"/>
                <w:szCs w:val="12"/>
                <w:color w:val="auto"/>
              </w:rPr>
            </w:pPr>
          </w:p>
        </w:tc>
        <w:tc>
          <w:tcPr>
            <w:tcW w:w="760" w:type="dxa"/>
            <w:vAlign w:val="bottom"/>
            <w:tcBorders>
              <w:top w:val="single" w:sz="8" w:color="auto"/>
            </w:tcBorders>
            <w:shd w:val="clear" w:color="auto" w:fill="F7A800"/>
          </w:tcPr>
          <w:p>
            <w:pPr>
              <w:spacing w:after="0"/>
              <w:rPr>
                <w:sz w:val="12"/>
                <w:szCs w:val="12"/>
                <w:color w:val="auto"/>
              </w:rPr>
            </w:pPr>
          </w:p>
        </w:tc>
        <w:tc>
          <w:tcPr>
            <w:tcW w:w="2880" w:type="dxa"/>
            <w:vAlign w:val="bottom"/>
            <w:tcBorders>
              <w:top w:val="single" w:sz="8" w:color="auto"/>
              <w:right w:val="single" w:sz="8" w:color="auto"/>
            </w:tcBorders>
            <w:vMerge w:val="restart"/>
            <w:shd w:val="clear" w:color="auto" w:fill="F7A800"/>
          </w:tcPr>
          <w:p>
            <w:pPr>
              <w:jc w:val="center"/>
              <w:ind w:right="553"/>
              <w:spacing w:after="0"/>
              <w:rPr>
                <w:sz w:val="20"/>
                <w:szCs w:val="20"/>
                <w:color w:val="auto"/>
              </w:rPr>
            </w:pPr>
            <w:r>
              <w:rPr>
                <w:rFonts w:ascii="Arial" w:cs="Arial" w:eastAsia="Arial" w:hAnsi="Arial"/>
                <w:sz w:val="14"/>
                <w:szCs w:val="14"/>
                <w:b w:val="1"/>
                <w:bCs w:val="1"/>
                <w:color w:val="auto"/>
                <w:w w:val="93"/>
              </w:rPr>
              <w:t>Executive Name</w:t>
            </w:r>
          </w:p>
        </w:tc>
        <w:tc>
          <w:tcPr>
            <w:tcW w:w="3240" w:type="dxa"/>
            <w:vAlign w:val="bottom"/>
            <w:tcBorders>
              <w:top w:val="single" w:sz="8" w:color="auto"/>
              <w:right w:val="single" w:sz="8" w:color="auto"/>
            </w:tcBorders>
            <w:shd w:val="clear" w:color="auto" w:fill="F7A800"/>
          </w:tcPr>
          <w:p>
            <w:pPr>
              <w:jc w:val="center"/>
              <w:ind w:left="15"/>
              <w:spacing w:after="0" w:line="139" w:lineRule="exact"/>
              <w:rPr>
                <w:sz w:val="20"/>
                <w:szCs w:val="20"/>
                <w:color w:val="auto"/>
              </w:rPr>
            </w:pPr>
            <w:r>
              <w:rPr>
                <w:rFonts w:ascii="Arial" w:cs="Arial" w:eastAsia="Arial" w:hAnsi="Arial"/>
                <w:sz w:val="14"/>
                <w:szCs w:val="14"/>
                <w:b w:val="1"/>
                <w:bCs w:val="1"/>
                <w:color w:val="auto"/>
                <w:w w:val="95"/>
              </w:rPr>
              <w:t>2018 Target LTIP Opportunity as</w:t>
            </w:r>
          </w:p>
        </w:tc>
        <w:tc>
          <w:tcPr>
            <w:tcW w:w="3240" w:type="dxa"/>
            <w:vAlign w:val="bottom"/>
            <w:tcBorders>
              <w:top w:val="single" w:sz="8" w:color="auto"/>
              <w:right w:val="single" w:sz="8" w:color="auto"/>
            </w:tcBorders>
            <w:shd w:val="clear" w:color="auto" w:fill="F7A800"/>
          </w:tcPr>
          <w:p>
            <w:pPr>
              <w:jc w:val="center"/>
              <w:ind w:left="55"/>
              <w:spacing w:after="0" w:line="139" w:lineRule="exact"/>
              <w:rPr>
                <w:sz w:val="20"/>
                <w:szCs w:val="20"/>
                <w:color w:val="auto"/>
              </w:rPr>
            </w:pPr>
            <w:r>
              <w:rPr>
                <w:rFonts w:ascii="Arial" w:cs="Arial" w:eastAsia="Arial" w:hAnsi="Arial"/>
                <w:sz w:val="14"/>
                <w:szCs w:val="14"/>
                <w:b w:val="1"/>
                <w:bCs w:val="1"/>
                <w:color w:val="auto"/>
                <w:w w:val="95"/>
              </w:rPr>
              <w:t>2019 Target LTIP Opportunity as</w:t>
            </w:r>
          </w:p>
        </w:tc>
        <w:tc>
          <w:tcPr>
            <w:tcW w:w="0" w:type="dxa"/>
            <w:vAlign w:val="bottom"/>
          </w:tcPr>
          <w:p>
            <w:pPr>
              <w:spacing w:after="0"/>
              <w:rPr>
                <w:sz w:val="1"/>
                <w:szCs w:val="1"/>
                <w:color w:val="auto"/>
              </w:rPr>
            </w:pPr>
          </w:p>
        </w:tc>
      </w:tr>
      <w:tr>
        <w:trPr>
          <w:trHeight w:val="171"/>
        </w:trPr>
        <w:tc>
          <w:tcPr>
            <w:tcW w:w="460" w:type="dxa"/>
            <w:vAlign w:val="bottom"/>
            <w:tcBorders>
              <w:right w:val="single" w:sz="8" w:color="auto"/>
            </w:tcBorders>
          </w:tcPr>
          <w:p>
            <w:pPr>
              <w:spacing w:after="0"/>
              <w:rPr>
                <w:sz w:val="14"/>
                <w:szCs w:val="14"/>
                <w:color w:val="auto"/>
              </w:rPr>
            </w:pPr>
          </w:p>
        </w:tc>
        <w:tc>
          <w:tcPr>
            <w:tcW w:w="760" w:type="dxa"/>
            <w:vAlign w:val="bottom"/>
            <w:tcBorders>
              <w:bottom w:val="single" w:sz="8" w:color="auto"/>
            </w:tcBorders>
            <w:shd w:val="clear" w:color="auto" w:fill="F7A800"/>
          </w:tcPr>
          <w:p>
            <w:pPr>
              <w:spacing w:after="0"/>
              <w:rPr>
                <w:sz w:val="14"/>
                <w:szCs w:val="14"/>
                <w:color w:val="auto"/>
              </w:rPr>
            </w:pPr>
          </w:p>
        </w:tc>
        <w:tc>
          <w:tcPr>
            <w:tcW w:w="2880" w:type="dxa"/>
            <w:vAlign w:val="bottom"/>
            <w:tcBorders>
              <w:bottom w:val="single" w:sz="8" w:color="auto"/>
              <w:right w:val="single" w:sz="8" w:color="auto"/>
            </w:tcBorders>
            <w:vMerge w:val="continue"/>
            <w:shd w:val="clear" w:color="auto" w:fill="F7A800"/>
          </w:tcPr>
          <w:p>
            <w:pPr>
              <w:spacing w:after="0"/>
              <w:rPr>
                <w:sz w:val="14"/>
                <w:szCs w:val="14"/>
                <w:color w:val="auto"/>
              </w:rPr>
            </w:pPr>
          </w:p>
        </w:tc>
        <w:tc>
          <w:tcPr>
            <w:tcW w:w="324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4"/>
                <w:szCs w:val="14"/>
                <w:b w:val="1"/>
                <w:bCs w:val="1"/>
                <w:color w:val="auto"/>
                <w:w w:val="90"/>
              </w:rPr>
              <w:t>Percentage of Base Salary</w:t>
            </w:r>
          </w:p>
        </w:tc>
        <w:tc>
          <w:tcPr>
            <w:tcW w:w="3240" w:type="dxa"/>
            <w:vAlign w:val="bottom"/>
            <w:tcBorders>
              <w:bottom w:val="single" w:sz="8" w:color="auto"/>
              <w:right w:val="single" w:sz="8" w:color="auto"/>
            </w:tcBorders>
            <w:shd w:val="clear" w:color="auto" w:fill="F7A800"/>
          </w:tcPr>
          <w:p>
            <w:pPr>
              <w:jc w:val="center"/>
              <w:ind w:left="55"/>
              <w:spacing w:after="0"/>
              <w:rPr>
                <w:sz w:val="20"/>
                <w:szCs w:val="20"/>
                <w:color w:val="auto"/>
              </w:rPr>
            </w:pPr>
            <w:r>
              <w:rPr>
                <w:rFonts w:ascii="Arial" w:cs="Arial" w:eastAsia="Arial" w:hAnsi="Arial"/>
                <w:sz w:val="14"/>
                <w:szCs w:val="14"/>
                <w:b w:val="1"/>
                <w:bCs w:val="1"/>
                <w:color w:val="auto"/>
                <w:w w:val="89"/>
              </w:rPr>
              <w:t>Percentage of Base Salary</w:t>
            </w:r>
          </w:p>
        </w:tc>
        <w:tc>
          <w:tcPr>
            <w:tcW w:w="0" w:type="dxa"/>
            <w:vAlign w:val="bottom"/>
          </w:tcPr>
          <w:p>
            <w:pPr>
              <w:spacing w:after="0"/>
              <w:rPr>
                <w:sz w:val="1"/>
                <w:szCs w:val="1"/>
                <w:color w:val="auto"/>
              </w:rPr>
            </w:pPr>
          </w:p>
        </w:tc>
      </w:tr>
      <w:tr>
        <w:trPr>
          <w:trHeight w:val="268"/>
        </w:trPr>
        <w:tc>
          <w:tcPr>
            <w:tcW w:w="460" w:type="dxa"/>
            <w:vAlign w:val="bottom"/>
            <w:tcBorders>
              <w:right w:val="single" w:sz="8" w:color="auto"/>
            </w:tcBorders>
          </w:tcPr>
          <w:p>
            <w:pPr>
              <w:spacing w:after="0"/>
              <w:rPr>
                <w:sz w:val="22"/>
                <w:szCs w:val="22"/>
                <w:color w:val="auto"/>
              </w:rPr>
            </w:pPr>
          </w:p>
        </w:tc>
        <w:tc>
          <w:tcPr>
            <w:tcW w:w="760" w:type="dxa"/>
            <w:vAlign w:val="bottom"/>
            <w:tcBorders>
              <w:bottom w:val="single" w:sz="8" w:color="F7A800"/>
            </w:tcBorders>
            <w:shd w:val="clear" w:color="auto" w:fill="F7A800"/>
          </w:tcPr>
          <w:p>
            <w:pPr>
              <w:spacing w:after="0"/>
              <w:rPr>
                <w:sz w:val="22"/>
                <w:szCs w:val="22"/>
                <w:color w:val="auto"/>
              </w:rPr>
            </w:pPr>
          </w:p>
        </w:tc>
        <w:tc>
          <w:tcPr>
            <w:tcW w:w="2880" w:type="dxa"/>
            <w:vAlign w:val="bottom"/>
            <w:tcBorders>
              <w:bottom w:val="single" w:sz="8" w:color="F7A800"/>
              <w:right w:val="single" w:sz="8" w:color="auto"/>
            </w:tcBorders>
            <w:shd w:val="clear" w:color="auto" w:fill="F7A800"/>
          </w:tcPr>
          <w:p>
            <w:pPr>
              <w:jc w:val="center"/>
              <w:ind w:right="553"/>
              <w:spacing w:after="0"/>
              <w:rPr>
                <w:sz w:val="20"/>
                <w:szCs w:val="20"/>
                <w:color w:val="auto"/>
              </w:rPr>
            </w:pPr>
            <w:r>
              <w:rPr>
                <w:rFonts w:ascii="Arial" w:cs="Arial" w:eastAsia="Arial" w:hAnsi="Arial"/>
                <w:sz w:val="18"/>
                <w:szCs w:val="18"/>
                <w:color w:val="auto"/>
                <w:w w:val="90"/>
              </w:rPr>
              <w:t>Gary L. Carano(1)</w:t>
            </w:r>
          </w:p>
        </w:tc>
        <w:tc>
          <w:tcPr>
            <w:tcW w:w="3240" w:type="dxa"/>
            <w:vAlign w:val="bottom"/>
            <w:tcBorders>
              <w:bottom w:val="single" w:sz="8" w:color="F7A800"/>
              <w:right w:val="single" w:sz="8" w:color="auto"/>
            </w:tcBorders>
            <w:shd w:val="clear" w:color="auto" w:fill="F7A800"/>
          </w:tcPr>
          <w:p>
            <w:pPr>
              <w:jc w:val="center"/>
              <w:ind w:left="15"/>
              <w:spacing w:after="0"/>
              <w:rPr>
                <w:sz w:val="20"/>
                <w:szCs w:val="20"/>
                <w:color w:val="auto"/>
              </w:rPr>
            </w:pPr>
            <w:r>
              <w:rPr>
                <w:rFonts w:ascii="Arial" w:cs="Arial" w:eastAsia="Arial" w:hAnsi="Arial"/>
                <w:sz w:val="18"/>
                <w:szCs w:val="18"/>
                <w:color w:val="auto"/>
                <w:w w:val="91"/>
              </w:rPr>
              <w:t>230%</w:t>
            </w:r>
          </w:p>
        </w:tc>
        <w:tc>
          <w:tcPr>
            <w:tcW w:w="3240" w:type="dxa"/>
            <w:vAlign w:val="bottom"/>
            <w:tcBorders>
              <w:bottom w:val="single" w:sz="8" w:color="F7A800"/>
              <w:right w:val="single" w:sz="8" w:color="auto"/>
            </w:tcBorders>
            <w:shd w:val="clear" w:color="auto" w:fill="F7A800"/>
          </w:tcPr>
          <w:p>
            <w:pPr>
              <w:jc w:val="center"/>
              <w:ind w:left="55"/>
              <w:spacing w:after="0"/>
              <w:rPr>
                <w:sz w:val="20"/>
                <w:szCs w:val="20"/>
                <w:color w:val="auto"/>
              </w:rPr>
            </w:pPr>
            <w:r>
              <w:rPr>
                <w:rFonts w:ascii="Arial" w:cs="Arial" w:eastAsia="Arial" w:hAnsi="Arial"/>
                <w:sz w:val="18"/>
                <w:szCs w:val="18"/>
                <w:color w:val="auto"/>
                <w:w w:val="91"/>
              </w:rPr>
              <w:t>230%</w:t>
            </w:r>
          </w:p>
        </w:tc>
        <w:tc>
          <w:tcPr>
            <w:tcW w:w="0" w:type="dxa"/>
            <w:vAlign w:val="bottom"/>
          </w:tcPr>
          <w:p>
            <w:pPr>
              <w:spacing w:after="0"/>
              <w:rPr>
                <w:sz w:val="1"/>
                <w:szCs w:val="1"/>
                <w:color w:val="auto"/>
              </w:rPr>
            </w:pPr>
          </w:p>
        </w:tc>
      </w:tr>
      <w:tr>
        <w:trPr>
          <w:trHeight w:val="268"/>
        </w:trPr>
        <w:tc>
          <w:tcPr>
            <w:tcW w:w="460" w:type="dxa"/>
            <w:vAlign w:val="bottom"/>
            <w:tcBorders>
              <w:right w:val="single" w:sz="8" w:color="auto"/>
            </w:tcBorders>
          </w:tcPr>
          <w:p>
            <w:pPr>
              <w:spacing w:after="0"/>
              <w:rPr>
                <w:sz w:val="22"/>
                <w:szCs w:val="22"/>
                <w:color w:val="auto"/>
              </w:rPr>
            </w:pPr>
          </w:p>
        </w:tc>
        <w:tc>
          <w:tcPr>
            <w:tcW w:w="760" w:type="dxa"/>
            <w:vAlign w:val="bottom"/>
            <w:tcBorders>
              <w:top w:val="single" w:sz="8" w:color="auto"/>
              <w:bottom w:val="single" w:sz="8" w:color="F7A800"/>
            </w:tcBorders>
            <w:shd w:val="clear" w:color="auto" w:fill="F7A800"/>
          </w:tcPr>
          <w:p>
            <w:pPr>
              <w:spacing w:after="0"/>
              <w:rPr>
                <w:sz w:val="22"/>
                <w:szCs w:val="22"/>
                <w:color w:val="auto"/>
              </w:rPr>
            </w:pPr>
          </w:p>
        </w:tc>
        <w:tc>
          <w:tcPr>
            <w:tcW w:w="2880" w:type="dxa"/>
            <w:vAlign w:val="bottom"/>
            <w:tcBorders>
              <w:top w:val="single" w:sz="8" w:color="auto"/>
              <w:bottom w:val="single" w:sz="8" w:color="F7A800"/>
              <w:right w:val="single" w:sz="8" w:color="auto"/>
            </w:tcBorders>
            <w:shd w:val="clear" w:color="auto" w:fill="F7A800"/>
          </w:tcPr>
          <w:p>
            <w:pPr>
              <w:jc w:val="center"/>
              <w:ind w:right="553"/>
              <w:spacing w:after="0"/>
              <w:rPr>
                <w:sz w:val="20"/>
                <w:szCs w:val="20"/>
                <w:color w:val="auto"/>
              </w:rPr>
            </w:pPr>
            <w:r>
              <w:rPr>
                <w:rFonts w:ascii="Arial" w:cs="Arial" w:eastAsia="Arial" w:hAnsi="Arial"/>
                <w:sz w:val="18"/>
                <w:szCs w:val="18"/>
                <w:color w:val="auto"/>
                <w:w w:val="88"/>
              </w:rPr>
              <w:t>Thomas R. Reeg</w:t>
            </w:r>
          </w:p>
        </w:tc>
        <w:tc>
          <w:tcPr>
            <w:tcW w:w="3240" w:type="dxa"/>
            <w:vAlign w:val="bottom"/>
            <w:tcBorders>
              <w:top w:val="single" w:sz="8" w:color="auto"/>
              <w:bottom w:val="single" w:sz="8" w:color="F7A800"/>
              <w:right w:val="single" w:sz="8" w:color="auto"/>
            </w:tcBorders>
            <w:shd w:val="clear" w:color="auto" w:fill="F7A800"/>
          </w:tcPr>
          <w:p>
            <w:pPr>
              <w:jc w:val="center"/>
              <w:ind w:left="15"/>
              <w:spacing w:after="0"/>
              <w:rPr>
                <w:sz w:val="20"/>
                <w:szCs w:val="20"/>
                <w:color w:val="auto"/>
              </w:rPr>
            </w:pPr>
            <w:r>
              <w:rPr>
                <w:rFonts w:ascii="Arial" w:cs="Arial" w:eastAsia="Arial" w:hAnsi="Arial"/>
                <w:sz w:val="18"/>
                <w:szCs w:val="18"/>
                <w:color w:val="auto"/>
                <w:w w:val="91"/>
              </w:rPr>
              <w:t>170%</w:t>
            </w:r>
          </w:p>
        </w:tc>
        <w:tc>
          <w:tcPr>
            <w:tcW w:w="3240" w:type="dxa"/>
            <w:vAlign w:val="bottom"/>
            <w:tcBorders>
              <w:top w:val="single" w:sz="8" w:color="auto"/>
              <w:bottom w:val="single" w:sz="8" w:color="F7A800"/>
              <w:right w:val="single" w:sz="8" w:color="auto"/>
            </w:tcBorders>
            <w:shd w:val="clear" w:color="auto" w:fill="F7A800"/>
          </w:tcPr>
          <w:p>
            <w:pPr>
              <w:jc w:val="center"/>
              <w:ind w:left="55"/>
              <w:spacing w:after="0"/>
              <w:rPr>
                <w:sz w:val="20"/>
                <w:szCs w:val="20"/>
                <w:color w:val="auto"/>
              </w:rPr>
            </w:pPr>
            <w:r>
              <w:rPr>
                <w:rFonts w:ascii="Arial" w:cs="Arial" w:eastAsia="Arial" w:hAnsi="Arial"/>
                <w:sz w:val="18"/>
                <w:szCs w:val="18"/>
                <w:color w:val="auto"/>
                <w:w w:val="91"/>
              </w:rPr>
              <w:t>300%</w:t>
            </w:r>
          </w:p>
        </w:tc>
        <w:tc>
          <w:tcPr>
            <w:tcW w:w="0" w:type="dxa"/>
            <w:vAlign w:val="bottom"/>
          </w:tcPr>
          <w:p>
            <w:pPr>
              <w:spacing w:after="0"/>
              <w:rPr>
                <w:sz w:val="1"/>
                <w:szCs w:val="1"/>
                <w:color w:val="auto"/>
              </w:rPr>
            </w:pPr>
          </w:p>
        </w:tc>
      </w:tr>
      <w:tr>
        <w:trPr>
          <w:trHeight w:val="269"/>
        </w:trPr>
        <w:tc>
          <w:tcPr>
            <w:tcW w:w="460" w:type="dxa"/>
            <w:vAlign w:val="bottom"/>
            <w:tcBorders>
              <w:right w:val="single" w:sz="8" w:color="auto"/>
            </w:tcBorders>
          </w:tcPr>
          <w:p>
            <w:pPr>
              <w:spacing w:after="0"/>
              <w:rPr>
                <w:sz w:val="22"/>
                <w:szCs w:val="22"/>
                <w:color w:val="auto"/>
              </w:rPr>
            </w:pPr>
          </w:p>
        </w:tc>
        <w:tc>
          <w:tcPr>
            <w:tcW w:w="760" w:type="dxa"/>
            <w:vAlign w:val="bottom"/>
            <w:tcBorders>
              <w:top w:val="single" w:sz="8" w:color="auto"/>
              <w:bottom w:val="single" w:sz="8" w:color="F7A800"/>
            </w:tcBorders>
            <w:shd w:val="clear" w:color="auto" w:fill="F7A800"/>
          </w:tcPr>
          <w:p>
            <w:pPr>
              <w:spacing w:after="0"/>
              <w:rPr>
                <w:sz w:val="22"/>
                <w:szCs w:val="22"/>
                <w:color w:val="auto"/>
              </w:rPr>
            </w:pPr>
          </w:p>
        </w:tc>
        <w:tc>
          <w:tcPr>
            <w:tcW w:w="2880" w:type="dxa"/>
            <w:vAlign w:val="bottom"/>
            <w:tcBorders>
              <w:top w:val="single" w:sz="8" w:color="auto"/>
              <w:bottom w:val="single" w:sz="8" w:color="F7A800"/>
              <w:right w:val="single" w:sz="8" w:color="auto"/>
            </w:tcBorders>
            <w:shd w:val="clear" w:color="auto" w:fill="F7A800"/>
          </w:tcPr>
          <w:p>
            <w:pPr>
              <w:jc w:val="center"/>
              <w:ind w:right="553"/>
              <w:spacing w:after="0"/>
              <w:rPr>
                <w:sz w:val="20"/>
                <w:szCs w:val="20"/>
                <w:color w:val="auto"/>
              </w:rPr>
            </w:pPr>
            <w:r>
              <w:rPr>
                <w:rFonts w:ascii="Arial" w:cs="Arial" w:eastAsia="Arial" w:hAnsi="Arial"/>
                <w:sz w:val="18"/>
                <w:szCs w:val="18"/>
                <w:color w:val="auto"/>
                <w:w w:val="93"/>
              </w:rPr>
              <w:t>Anthony L. Carano</w:t>
            </w:r>
          </w:p>
        </w:tc>
        <w:tc>
          <w:tcPr>
            <w:tcW w:w="3240" w:type="dxa"/>
            <w:vAlign w:val="bottom"/>
            <w:tcBorders>
              <w:top w:val="single" w:sz="8" w:color="auto"/>
              <w:bottom w:val="single" w:sz="8" w:color="F7A800"/>
              <w:right w:val="single" w:sz="8" w:color="auto"/>
            </w:tcBorders>
            <w:shd w:val="clear" w:color="auto" w:fill="F7A800"/>
          </w:tcPr>
          <w:p>
            <w:pPr>
              <w:jc w:val="center"/>
              <w:ind w:left="15"/>
              <w:spacing w:after="0"/>
              <w:rPr>
                <w:sz w:val="20"/>
                <w:szCs w:val="20"/>
                <w:color w:val="auto"/>
              </w:rPr>
            </w:pPr>
            <w:r>
              <w:rPr>
                <w:rFonts w:ascii="Arial" w:cs="Arial" w:eastAsia="Arial" w:hAnsi="Arial"/>
                <w:sz w:val="18"/>
                <w:szCs w:val="18"/>
                <w:color w:val="auto"/>
                <w:w w:val="91"/>
              </w:rPr>
              <w:t>125%</w:t>
            </w:r>
          </w:p>
        </w:tc>
        <w:tc>
          <w:tcPr>
            <w:tcW w:w="3240" w:type="dxa"/>
            <w:vAlign w:val="bottom"/>
            <w:tcBorders>
              <w:top w:val="single" w:sz="8" w:color="auto"/>
              <w:bottom w:val="single" w:sz="8" w:color="F7A800"/>
              <w:right w:val="single" w:sz="8" w:color="auto"/>
            </w:tcBorders>
            <w:shd w:val="clear" w:color="auto" w:fill="F7A800"/>
          </w:tcPr>
          <w:p>
            <w:pPr>
              <w:jc w:val="center"/>
              <w:ind w:left="55"/>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68"/>
        </w:trPr>
        <w:tc>
          <w:tcPr>
            <w:tcW w:w="460" w:type="dxa"/>
            <w:vAlign w:val="bottom"/>
            <w:tcBorders>
              <w:right w:val="single" w:sz="8" w:color="auto"/>
            </w:tcBorders>
          </w:tcPr>
          <w:p>
            <w:pPr>
              <w:spacing w:after="0"/>
              <w:rPr>
                <w:sz w:val="22"/>
                <w:szCs w:val="22"/>
                <w:color w:val="auto"/>
              </w:rPr>
            </w:pPr>
          </w:p>
        </w:tc>
        <w:tc>
          <w:tcPr>
            <w:tcW w:w="760" w:type="dxa"/>
            <w:vAlign w:val="bottom"/>
            <w:tcBorders>
              <w:top w:val="single" w:sz="8" w:color="auto"/>
              <w:bottom w:val="single" w:sz="8" w:color="F7A800"/>
            </w:tcBorders>
            <w:shd w:val="clear" w:color="auto" w:fill="F7A800"/>
          </w:tcPr>
          <w:p>
            <w:pPr>
              <w:spacing w:after="0"/>
              <w:rPr>
                <w:sz w:val="22"/>
                <w:szCs w:val="22"/>
                <w:color w:val="auto"/>
              </w:rPr>
            </w:pPr>
          </w:p>
        </w:tc>
        <w:tc>
          <w:tcPr>
            <w:tcW w:w="2880" w:type="dxa"/>
            <w:vAlign w:val="bottom"/>
            <w:tcBorders>
              <w:top w:val="single" w:sz="8" w:color="auto"/>
              <w:bottom w:val="single" w:sz="8" w:color="F7A800"/>
              <w:right w:val="single" w:sz="8" w:color="auto"/>
            </w:tcBorders>
            <w:shd w:val="clear" w:color="auto" w:fill="F7A800"/>
          </w:tcPr>
          <w:p>
            <w:pPr>
              <w:jc w:val="center"/>
              <w:ind w:right="533"/>
              <w:spacing w:after="0"/>
              <w:rPr>
                <w:sz w:val="20"/>
                <w:szCs w:val="20"/>
                <w:color w:val="auto"/>
              </w:rPr>
            </w:pPr>
            <w:r>
              <w:rPr>
                <w:rFonts w:ascii="Arial" w:cs="Arial" w:eastAsia="Arial" w:hAnsi="Arial"/>
                <w:sz w:val="18"/>
                <w:szCs w:val="18"/>
                <w:color w:val="auto"/>
                <w:w w:val="90"/>
              </w:rPr>
              <w:t>Edmund L. Quatmann, Jr.</w:t>
            </w:r>
          </w:p>
        </w:tc>
        <w:tc>
          <w:tcPr>
            <w:tcW w:w="3240" w:type="dxa"/>
            <w:vAlign w:val="bottom"/>
            <w:tcBorders>
              <w:top w:val="single" w:sz="8" w:color="auto"/>
              <w:bottom w:val="single" w:sz="8" w:color="F7A800"/>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88"/>
              </w:rPr>
              <w:t>80%</w:t>
            </w:r>
          </w:p>
        </w:tc>
        <w:tc>
          <w:tcPr>
            <w:tcW w:w="3240" w:type="dxa"/>
            <w:vAlign w:val="bottom"/>
            <w:tcBorders>
              <w:top w:val="single" w:sz="8" w:color="auto"/>
              <w:bottom w:val="single" w:sz="8" w:color="F7A800"/>
              <w:right w:val="single" w:sz="8" w:color="auto"/>
            </w:tcBorders>
            <w:shd w:val="clear" w:color="auto" w:fill="F7A800"/>
          </w:tcPr>
          <w:p>
            <w:pPr>
              <w:jc w:val="center"/>
              <w:ind w:left="55"/>
              <w:spacing w:after="0"/>
              <w:rPr>
                <w:sz w:val="20"/>
                <w:szCs w:val="20"/>
                <w:color w:val="auto"/>
              </w:rPr>
            </w:pPr>
            <w:r>
              <w:rPr>
                <w:rFonts w:ascii="Arial" w:cs="Arial" w:eastAsia="Arial" w:hAnsi="Arial"/>
                <w:sz w:val="18"/>
                <w:szCs w:val="18"/>
                <w:color w:val="auto"/>
                <w:w w:val="91"/>
              </w:rPr>
              <w:t>125%</w:t>
            </w:r>
          </w:p>
        </w:tc>
        <w:tc>
          <w:tcPr>
            <w:tcW w:w="0" w:type="dxa"/>
            <w:vAlign w:val="bottom"/>
          </w:tcPr>
          <w:p>
            <w:pPr>
              <w:spacing w:after="0"/>
              <w:rPr>
                <w:sz w:val="1"/>
                <w:szCs w:val="1"/>
                <w:color w:val="auto"/>
              </w:rPr>
            </w:pPr>
          </w:p>
        </w:tc>
      </w:tr>
      <w:tr>
        <w:trPr>
          <w:trHeight w:val="268"/>
        </w:trPr>
        <w:tc>
          <w:tcPr>
            <w:tcW w:w="460" w:type="dxa"/>
            <w:vAlign w:val="bottom"/>
            <w:tcBorders>
              <w:right w:val="single" w:sz="8" w:color="auto"/>
            </w:tcBorders>
          </w:tcPr>
          <w:p>
            <w:pPr>
              <w:spacing w:after="0"/>
              <w:rPr>
                <w:sz w:val="22"/>
                <w:szCs w:val="22"/>
                <w:color w:val="auto"/>
              </w:rPr>
            </w:pPr>
          </w:p>
        </w:tc>
        <w:tc>
          <w:tcPr>
            <w:tcW w:w="760" w:type="dxa"/>
            <w:vAlign w:val="bottom"/>
            <w:tcBorders>
              <w:top w:val="single" w:sz="8" w:color="auto"/>
              <w:bottom w:val="single" w:sz="8" w:color="F7A800"/>
            </w:tcBorders>
            <w:shd w:val="clear" w:color="auto" w:fill="F7A800"/>
          </w:tcPr>
          <w:p>
            <w:pPr>
              <w:spacing w:after="0"/>
              <w:rPr>
                <w:sz w:val="22"/>
                <w:szCs w:val="22"/>
                <w:color w:val="auto"/>
              </w:rPr>
            </w:pPr>
          </w:p>
        </w:tc>
        <w:tc>
          <w:tcPr>
            <w:tcW w:w="2880" w:type="dxa"/>
            <w:vAlign w:val="bottom"/>
            <w:tcBorders>
              <w:top w:val="single" w:sz="8" w:color="auto"/>
              <w:bottom w:val="single" w:sz="8" w:color="F7A800"/>
              <w:right w:val="single" w:sz="8" w:color="auto"/>
            </w:tcBorders>
            <w:shd w:val="clear" w:color="auto" w:fill="F7A800"/>
          </w:tcPr>
          <w:p>
            <w:pPr>
              <w:jc w:val="center"/>
              <w:ind w:right="553"/>
              <w:spacing w:after="0"/>
              <w:rPr>
                <w:sz w:val="20"/>
                <w:szCs w:val="20"/>
                <w:color w:val="auto"/>
              </w:rPr>
            </w:pPr>
            <w:r>
              <w:rPr>
                <w:rFonts w:ascii="Arial" w:cs="Arial" w:eastAsia="Arial" w:hAnsi="Arial"/>
                <w:sz w:val="18"/>
                <w:szCs w:val="18"/>
                <w:color w:val="auto"/>
                <w:w w:val="92"/>
              </w:rPr>
              <w:t>Bret Yunker(2)</w:t>
            </w:r>
          </w:p>
        </w:tc>
        <w:tc>
          <w:tcPr>
            <w:tcW w:w="3240" w:type="dxa"/>
            <w:vAlign w:val="bottom"/>
            <w:tcBorders>
              <w:top w:val="single" w:sz="8" w:color="auto"/>
              <w:bottom w:val="single" w:sz="8" w:color="F7A800"/>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rPr>
              <w:t>N/A</w:t>
            </w:r>
          </w:p>
        </w:tc>
        <w:tc>
          <w:tcPr>
            <w:tcW w:w="3240" w:type="dxa"/>
            <w:vAlign w:val="bottom"/>
            <w:tcBorders>
              <w:top w:val="single" w:sz="8" w:color="auto"/>
              <w:bottom w:val="single" w:sz="8" w:color="F7A800"/>
              <w:right w:val="single" w:sz="8" w:color="auto"/>
            </w:tcBorders>
            <w:shd w:val="clear" w:color="auto" w:fill="F7A800"/>
          </w:tcPr>
          <w:p>
            <w:pPr>
              <w:jc w:val="center"/>
              <w:ind w:left="55"/>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128"/>
        </w:trPr>
        <w:tc>
          <w:tcPr>
            <w:tcW w:w="460" w:type="dxa"/>
            <w:vAlign w:val="bottom"/>
            <w:tcBorders>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2880" w:type="dxa"/>
            <w:vAlign w:val="bottom"/>
            <w:tcBorders>
              <w:top w:val="single" w:sz="8" w:color="auto"/>
            </w:tcBorders>
          </w:tcPr>
          <w:p>
            <w:pPr>
              <w:spacing w:after="0"/>
              <w:rPr>
                <w:sz w:val="11"/>
                <w:szCs w:val="11"/>
                <w:color w:val="auto"/>
              </w:rPr>
            </w:pPr>
          </w:p>
        </w:tc>
        <w:tc>
          <w:tcPr>
            <w:tcW w:w="3240" w:type="dxa"/>
            <w:vAlign w:val="bottom"/>
            <w:tcBorders>
              <w:top w:val="single" w:sz="8" w:color="auto"/>
            </w:tcBorders>
          </w:tcPr>
          <w:p>
            <w:pPr>
              <w:spacing w:after="0"/>
              <w:rPr>
                <w:sz w:val="11"/>
                <w:szCs w:val="11"/>
                <w:color w:val="auto"/>
              </w:rPr>
            </w:pPr>
          </w:p>
        </w:tc>
        <w:tc>
          <w:tcPr>
            <w:tcW w:w="32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Mr. Gary L. Carano’s target did not change upon his move to Executive Chairman of the Board.</w:t>
      </w:r>
    </w:p>
    <w:p>
      <w:pPr>
        <w:spacing w:after="0" w:line="23"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Mr. Yunker’s employment with us began on May 2, 2019.</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Equity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January 25, 2019, the Compensation Committee granted long-term incentive awards to the NEOs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60" w:type="dxa"/>
            <w:vAlign w:val="bottom"/>
            <w:tcBorders>
              <w:right w:val="single" w:sz="8" w:color="auto"/>
            </w:tcBorders>
          </w:tcPr>
          <w:p>
            <w:pPr>
              <w:spacing w:after="0"/>
              <w:rPr>
                <w:sz w:val="19"/>
                <w:szCs w:val="19"/>
                <w:color w:val="auto"/>
              </w:rPr>
            </w:pPr>
          </w:p>
        </w:tc>
        <w:tc>
          <w:tcPr>
            <w:tcW w:w="760" w:type="dxa"/>
            <w:vAlign w:val="bottom"/>
            <w:tcBorders>
              <w:top w:val="single" w:sz="8" w:color="auto"/>
              <w:bottom w:val="single" w:sz="8" w:color="F7A800"/>
            </w:tcBorders>
            <w:shd w:val="clear" w:color="auto" w:fill="F7A800"/>
          </w:tcPr>
          <w:p>
            <w:pPr>
              <w:spacing w:after="0"/>
              <w:rPr>
                <w:sz w:val="19"/>
                <w:szCs w:val="19"/>
                <w:color w:val="auto"/>
              </w:rPr>
            </w:pPr>
          </w:p>
        </w:tc>
        <w:tc>
          <w:tcPr>
            <w:tcW w:w="3900" w:type="dxa"/>
            <w:vAlign w:val="bottom"/>
            <w:tcBorders>
              <w:top w:val="single" w:sz="8" w:color="auto"/>
              <w:bottom w:val="single" w:sz="8" w:color="F7A800"/>
              <w:right w:val="single" w:sz="8" w:color="auto"/>
            </w:tcBorders>
            <w:shd w:val="clear" w:color="auto" w:fill="F7A800"/>
          </w:tcPr>
          <w:p>
            <w:pPr>
              <w:jc w:val="center"/>
              <w:ind w:right="553"/>
              <w:spacing w:after="0"/>
              <w:rPr>
                <w:sz w:val="20"/>
                <w:szCs w:val="20"/>
                <w:color w:val="auto"/>
              </w:rPr>
            </w:pPr>
            <w:r>
              <w:rPr>
                <w:rFonts w:ascii="Arial" w:cs="Arial" w:eastAsia="Arial" w:hAnsi="Arial"/>
                <w:sz w:val="14"/>
                <w:szCs w:val="14"/>
                <w:b w:val="1"/>
                <w:bCs w:val="1"/>
                <w:color w:val="auto"/>
                <w:w w:val="91"/>
              </w:rPr>
              <w:t>Executive Name</w:t>
            </w:r>
          </w:p>
        </w:tc>
        <w:tc>
          <w:tcPr>
            <w:tcW w:w="840" w:type="dxa"/>
            <w:vAlign w:val="bottom"/>
            <w:tcBorders>
              <w:top w:val="single" w:sz="8" w:color="auto"/>
              <w:bottom w:val="single" w:sz="8" w:color="F7A800"/>
              <w:right w:val="single" w:sz="8" w:color="F7A800"/>
            </w:tcBorders>
            <w:shd w:val="clear" w:color="auto" w:fill="F7A800"/>
          </w:tcPr>
          <w:p>
            <w:pPr>
              <w:spacing w:after="0"/>
              <w:rPr>
                <w:sz w:val="19"/>
                <w:szCs w:val="19"/>
                <w:color w:val="auto"/>
              </w:rPr>
            </w:pPr>
          </w:p>
        </w:tc>
        <w:tc>
          <w:tcPr>
            <w:tcW w:w="1640" w:type="dxa"/>
            <w:vAlign w:val="bottom"/>
            <w:tcBorders>
              <w:top w:val="single" w:sz="8" w:color="auto"/>
              <w:bottom w:val="single" w:sz="8" w:color="F7A800"/>
              <w:right w:val="single" w:sz="8" w:color="auto"/>
            </w:tcBorders>
            <w:gridSpan w:val="2"/>
            <w:shd w:val="clear" w:color="auto" w:fill="F7A800"/>
          </w:tcPr>
          <w:p>
            <w:pPr>
              <w:jc w:val="center"/>
              <w:ind w:right="896"/>
              <w:spacing w:after="0"/>
              <w:rPr>
                <w:sz w:val="20"/>
                <w:szCs w:val="20"/>
                <w:color w:val="auto"/>
              </w:rPr>
            </w:pPr>
            <w:r>
              <w:rPr>
                <w:rFonts w:ascii="Arial" w:cs="Arial" w:eastAsia="Arial" w:hAnsi="Arial"/>
                <w:sz w:val="14"/>
                <w:szCs w:val="14"/>
                <w:b w:val="1"/>
                <w:bCs w:val="1"/>
                <w:color w:val="auto"/>
                <w:w w:val="90"/>
              </w:rPr>
              <w:t>RSUs</w:t>
            </w:r>
          </w:p>
        </w:tc>
        <w:tc>
          <w:tcPr>
            <w:tcW w:w="1120" w:type="dxa"/>
            <w:vAlign w:val="bottom"/>
            <w:tcBorders>
              <w:top w:val="single" w:sz="8" w:color="auto"/>
              <w:bottom w:val="single" w:sz="8" w:color="F7A800"/>
            </w:tcBorders>
            <w:shd w:val="clear" w:color="auto" w:fill="F7A800"/>
          </w:tcPr>
          <w:p>
            <w:pPr>
              <w:spacing w:after="0"/>
              <w:rPr>
                <w:sz w:val="19"/>
                <w:szCs w:val="19"/>
                <w:color w:val="auto"/>
              </w:rPr>
            </w:pPr>
          </w:p>
        </w:tc>
        <w:tc>
          <w:tcPr>
            <w:tcW w:w="640" w:type="dxa"/>
            <w:vAlign w:val="bottom"/>
            <w:tcBorders>
              <w:top w:val="single" w:sz="8" w:color="auto"/>
              <w:bottom w:val="single" w:sz="8" w:color="F7A800"/>
            </w:tcBorders>
            <w:gridSpan w:val="2"/>
            <w:shd w:val="clear" w:color="auto" w:fill="F7A800"/>
          </w:tcPr>
          <w:p>
            <w:pPr>
              <w:jc w:val="right"/>
              <w:spacing w:after="0"/>
              <w:rPr>
                <w:sz w:val="20"/>
                <w:szCs w:val="20"/>
                <w:color w:val="auto"/>
              </w:rPr>
            </w:pPr>
            <w:r>
              <w:rPr>
                <w:rFonts w:ascii="Arial" w:cs="Arial" w:eastAsia="Arial" w:hAnsi="Arial"/>
                <w:sz w:val="14"/>
                <w:szCs w:val="14"/>
                <w:b w:val="1"/>
                <w:bCs w:val="1"/>
                <w:color w:val="auto"/>
              </w:rPr>
              <w:t>PSUs(1)</w:t>
            </w:r>
          </w:p>
        </w:tc>
        <w:tc>
          <w:tcPr>
            <w:tcW w:w="1220" w:type="dxa"/>
            <w:vAlign w:val="bottom"/>
            <w:tcBorders>
              <w:top w:val="single" w:sz="8" w:color="auto"/>
              <w:bottom w:val="single" w:sz="8" w:color="F7A800"/>
              <w:right w:val="single" w:sz="8" w:color="auto"/>
            </w:tcBorders>
            <w:shd w:val="clear" w:color="auto" w:fill="F7A800"/>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460" w:type="dxa"/>
            <w:vAlign w:val="bottom"/>
            <w:tcBorders>
              <w:right w:val="single" w:sz="8" w:color="auto"/>
            </w:tcBorders>
          </w:tcPr>
          <w:p>
            <w:pPr>
              <w:spacing w:after="0"/>
              <w:rPr>
                <w:sz w:val="10"/>
                <w:szCs w:val="10"/>
                <w:color w:val="auto"/>
              </w:rPr>
            </w:pPr>
          </w:p>
        </w:tc>
        <w:tc>
          <w:tcPr>
            <w:tcW w:w="760" w:type="dxa"/>
            <w:vAlign w:val="bottom"/>
            <w:tcBorders>
              <w:top w:val="single" w:sz="8" w:color="auto"/>
            </w:tcBorders>
            <w:shd w:val="clear" w:color="auto" w:fill="F7A800"/>
          </w:tcPr>
          <w:p>
            <w:pPr>
              <w:spacing w:after="0"/>
              <w:rPr>
                <w:sz w:val="10"/>
                <w:szCs w:val="10"/>
                <w:color w:val="auto"/>
              </w:rPr>
            </w:pPr>
          </w:p>
        </w:tc>
        <w:tc>
          <w:tcPr>
            <w:tcW w:w="3900" w:type="dxa"/>
            <w:vAlign w:val="bottom"/>
            <w:tcBorders>
              <w:top w:val="single" w:sz="8" w:color="auto"/>
              <w:right w:val="single" w:sz="8" w:color="auto"/>
            </w:tcBorders>
            <w:shd w:val="clear" w:color="auto" w:fill="F7A800"/>
          </w:tcPr>
          <w:p>
            <w:pPr>
              <w:spacing w:after="0"/>
              <w:rPr>
                <w:sz w:val="10"/>
                <w:szCs w:val="10"/>
                <w:color w:val="auto"/>
              </w:rPr>
            </w:pPr>
          </w:p>
        </w:tc>
        <w:tc>
          <w:tcPr>
            <w:tcW w:w="840" w:type="dxa"/>
            <w:vAlign w:val="bottom"/>
            <w:tcBorders>
              <w:top w:val="single" w:sz="8" w:color="auto"/>
              <w:right w:val="single" w:sz="8" w:color="auto"/>
            </w:tcBorders>
            <w:vMerge w:val="restart"/>
            <w:shd w:val="clear" w:color="auto" w:fill="F7A800"/>
          </w:tcPr>
          <w:p>
            <w:pPr>
              <w:ind w:left="260"/>
              <w:spacing w:after="0"/>
              <w:rPr>
                <w:sz w:val="20"/>
                <w:szCs w:val="20"/>
                <w:color w:val="auto"/>
              </w:rPr>
            </w:pPr>
            <w:r>
              <w:rPr>
                <w:rFonts w:ascii="Arial" w:cs="Arial" w:eastAsia="Arial" w:hAnsi="Arial"/>
                <w:sz w:val="14"/>
                <w:szCs w:val="14"/>
                <w:b w:val="1"/>
                <w:bCs w:val="1"/>
                <w:color w:val="auto"/>
              </w:rPr>
              <w:t>Units(#)</w:t>
            </w:r>
          </w:p>
        </w:tc>
        <w:tc>
          <w:tcPr>
            <w:tcW w:w="400" w:type="dxa"/>
            <w:vAlign w:val="bottom"/>
            <w:tcBorders>
              <w:top w:val="single" w:sz="8" w:color="auto"/>
            </w:tcBorders>
            <w:shd w:val="clear" w:color="auto" w:fill="F7A800"/>
          </w:tcPr>
          <w:p>
            <w:pPr>
              <w:spacing w:after="0"/>
              <w:rPr>
                <w:sz w:val="10"/>
                <w:szCs w:val="10"/>
                <w:color w:val="auto"/>
              </w:rPr>
            </w:pPr>
          </w:p>
        </w:tc>
        <w:tc>
          <w:tcPr>
            <w:tcW w:w="1240" w:type="dxa"/>
            <w:vAlign w:val="bottom"/>
            <w:tcBorders>
              <w:top w:val="single" w:sz="8" w:color="auto"/>
              <w:right w:val="single" w:sz="8" w:color="auto"/>
            </w:tcBorders>
            <w:shd w:val="clear" w:color="auto" w:fill="F7A800"/>
          </w:tcPr>
          <w:p>
            <w:pPr>
              <w:jc w:val="right"/>
              <w:ind w:right="416"/>
              <w:spacing w:after="0" w:line="119" w:lineRule="exact"/>
              <w:rPr>
                <w:sz w:val="20"/>
                <w:szCs w:val="20"/>
                <w:color w:val="auto"/>
              </w:rPr>
            </w:pPr>
            <w:r>
              <w:rPr>
                <w:rFonts w:ascii="Arial" w:cs="Arial" w:eastAsia="Arial" w:hAnsi="Arial"/>
                <w:sz w:val="13"/>
                <w:szCs w:val="13"/>
                <w:b w:val="1"/>
                <w:bCs w:val="1"/>
                <w:color w:val="auto"/>
              </w:rPr>
              <w:t>Grant Date</w:t>
            </w:r>
          </w:p>
        </w:tc>
        <w:tc>
          <w:tcPr>
            <w:tcW w:w="1120" w:type="dxa"/>
            <w:vAlign w:val="bottom"/>
            <w:tcBorders>
              <w:top w:val="single" w:sz="8" w:color="auto"/>
            </w:tcBorders>
            <w:vMerge w:val="restart"/>
            <w:shd w:val="clear" w:color="auto" w:fill="F7A800"/>
          </w:tcPr>
          <w:p>
            <w:pPr>
              <w:jc w:val="right"/>
              <w:ind w:right="153"/>
              <w:spacing w:after="0"/>
              <w:rPr>
                <w:sz w:val="20"/>
                <w:szCs w:val="20"/>
                <w:color w:val="auto"/>
              </w:rPr>
            </w:pPr>
            <w:r>
              <w:rPr>
                <w:rFonts w:ascii="Arial" w:cs="Arial" w:eastAsia="Arial" w:hAnsi="Arial"/>
                <w:sz w:val="14"/>
                <w:szCs w:val="14"/>
                <w:b w:val="1"/>
                <w:bCs w:val="1"/>
                <w:color w:val="auto"/>
              </w:rPr>
              <w:t>Units(#)</w:t>
            </w:r>
          </w:p>
        </w:tc>
        <w:tc>
          <w:tcPr>
            <w:tcW w:w="200" w:type="dxa"/>
            <w:vAlign w:val="bottom"/>
            <w:tcBorders>
              <w:top w:val="single" w:sz="8" w:color="auto"/>
              <w:right w:val="single" w:sz="8" w:color="auto"/>
            </w:tcBorders>
            <w:shd w:val="clear" w:color="auto" w:fill="F7A800"/>
          </w:tcPr>
          <w:p>
            <w:pPr>
              <w:spacing w:after="0"/>
              <w:rPr>
                <w:sz w:val="10"/>
                <w:szCs w:val="10"/>
                <w:color w:val="auto"/>
              </w:rPr>
            </w:pPr>
          </w:p>
        </w:tc>
        <w:tc>
          <w:tcPr>
            <w:tcW w:w="440" w:type="dxa"/>
            <w:vAlign w:val="bottom"/>
            <w:tcBorders>
              <w:top w:val="single" w:sz="8" w:color="auto"/>
            </w:tcBorders>
            <w:shd w:val="clear" w:color="auto" w:fill="F7A800"/>
          </w:tcPr>
          <w:p>
            <w:pPr>
              <w:spacing w:after="0"/>
              <w:rPr>
                <w:sz w:val="10"/>
                <w:szCs w:val="10"/>
                <w:color w:val="auto"/>
              </w:rPr>
            </w:pPr>
          </w:p>
        </w:tc>
        <w:tc>
          <w:tcPr>
            <w:tcW w:w="1220" w:type="dxa"/>
            <w:vAlign w:val="bottom"/>
            <w:tcBorders>
              <w:top w:val="single" w:sz="8" w:color="auto"/>
              <w:right w:val="single" w:sz="8" w:color="auto"/>
            </w:tcBorders>
            <w:shd w:val="clear" w:color="auto" w:fill="F7A800"/>
          </w:tcPr>
          <w:p>
            <w:pPr>
              <w:jc w:val="right"/>
              <w:ind w:right="416"/>
              <w:spacing w:after="0" w:line="119" w:lineRule="exact"/>
              <w:rPr>
                <w:sz w:val="20"/>
                <w:szCs w:val="20"/>
                <w:color w:val="auto"/>
              </w:rPr>
            </w:pPr>
            <w:r>
              <w:rPr>
                <w:rFonts w:ascii="Arial" w:cs="Arial" w:eastAsia="Arial" w:hAnsi="Arial"/>
                <w:sz w:val="13"/>
                <w:szCs w:val="13"/>
                <w:b w:val="1"/>
                <w:bCs w:val="1"/>
                <w:color w:val="auto"/>
              </w:rPr>
              <w:t>Grant Date</w:t>
            </w:r>
          </w:p>
        </w:tc>
        <w:tc>
          <w:tcPr>
            <w:tcW w:w="0" w:type="dxa"/>
            <w:vAlign w:val="bottom"/>
          </w:tcPr>
          <w:p>
            <w:pPr>
              <w:spacing w:after="0"/>
              <w:rPr>
                <w:sz w:val="1"/>
                <w:szCs w:val="1"/>
                <w:color w:val="auto"/>
              </w:rPr>
            </w:pPr>
          </w:p>
        </w:tc>
      </w:tr>
      <w:tr>
        <w:trPr>
          <w:trHeight w:val="171"/>
        </w:trPr>
        <w:tc>
          <w:tcPr>
            <w:tcW w:w="460" w:type="dxa"/>
            <w:vAlign w:val="bottom"/>
            <w:tcBorders>
              <w:right w:val="single" w:sz="8" w:color="auto"/>
            </w:tcBorders>
          </w:tcPr>
          <w:p>
            <w:pPr>
              <w:spacing w:after="0"/>
              <w:rPr>
                <w:sz w:val="14"/>
                <w:szCs w:val="14"/>
                <w:color w:val="auto"/>
              </w:rPr>
            </w:pPr>
          </w:p>
        </w:tc>
        <w:tc>
          <w:tcPr>
            <w:tcW w:w="760" w:type="dxa"/>
            <w:vAlign w:val="bottom"/>
            <w:tcBorders>
              <w:bottom w:val="single" w:sz="8" w:color="auto"/>
            </w:tcBorders>
            <w:shd w:val="clear" w:color="auto" w:fill="F7A800"/>
          </w:tcPr>
          <w:p>
            <w:pPr>
              <w:spacing w:after="0"/>
              <w:rPr>
                <w:sz w:val="14"/>
                <w:szCs w:val="14"/>
                <w:color w:val="auto"/>
              </w:rPr>
            </w:pPr>
          </w:p>
        </w:tc>
        <w:tc>
          <w:tcPr>
            <w:tcW w:w="3900" w:type="dxa"/>
            <w:vAlign w:val="bottom"/>
            <w:tcBorders>
              <w:bottom w:val="single" w:sz="8" w:color="auto"/>
              <w:right w:val="single" w:sz="8" w:color="auto"/>
            </w:tcBorders>
            <w:shd w:val="clear" w:color="auto" w:fill="F7A800"/>
          </w:tcPr>
          <w:p>
            <w:pPr>
              <w:spacing w:after="0"/>
              <w:rPr>
                <w:sz w:val="14"/>
                <w:szCs w:val="14"/>
                <w:color w:val="auto"/>
              </w:rPr>
            </w:pPr>
          </w:p>
        </w:tc>
        <w:tc>
          <w:tcPr>
            <w:tcW w:w="840" w:type="dxa"/>
            <w:vAlign w:val="bottom"/>
            <w:tcBorders>
              <w:bottom w:val="single" w:sz="8" w:color="auto"/>
              <w:right w:val="single" w:sz="8" w:color="auto"/>
            </w:tcBorders>
            <w:vMerge w:val="continue"/>
            <w:shd w:val="clear" w:color="auto" w:fill="F7A800"/>
          </w:tcPr>
          <w:p>
            <w:pPr>
              <w:spacing w:after="0"/>
              <w:rPr>
                <w:sz w:val="14"/>
                <w:szCs w:val="14"/>
                <w:color w:val="auto"/>
              </w:rPr>
            </w:pPr>
          </w:p>
        </w:tc>
        <w:tc>
          <w:tcPr>
            <w:tcW w:w="400" w:type="dxa"/>
            <w:vAlign w:val="bottom"/>
            <w:tcBorders>
              <w:bottom w:val="single" w:sz="8" w:color="auto"/>
            </w:tcBorders>
            <w:shd w:val="clear" w:color="auto" w:fill="F7A800"/>
          </w:tcPr>
          <w:p>
            <w:pPr>
              <w:spacing w:after="0"/>
              <w:rPr>
                <w:sz w:val="14"/>
                <w:szCs w:val="14"/>
                <w:color w:val="auto"/>
              </w:rPr>
            </w:pPr>
          </w:p>
        </w:tc>
        <w:tc>
          <w:tcPr>
            <w:tcW w:w="1240" w:type="dxa"/>
            <w:vAlign w:val="bottom"/>
            <w:tcBorders>
              <w:bottom w:val="single" w:sz="8" w:color="auto"/>
              <w:right w:val="single" w:sz="8" w:color="auto"/>
            </w:tcBorders>
            <w:shd w:val="clear" w:color="auto" w:fill="F7A800"/>
          </w:tcPr>
          <w:p>
            <w:pPr>
              <w:jc w:val="right"/>
              <w:ind w:right="496"/>
              <w:spacing w:after="0"/>
              <w:rPr>
                <w:sz w:val="20"/>
                <w:szCs w:val="20"/>
                <w:color w:val="auto"/>
              </w:rPr>
            </w:pPr>
            <w:r>
              <w:rPr>
                <w:rFonts w:ascii="Arial" w:cs="Arial" w:eastAsia="Arial" w:hAnsi="Arial"/>
                <w:sz w:val="14"/>
                <w:szCs w:val="14"/>
                <w:b w:val="1"/>
                <w:bCs w:val="1"/>
                <w:color w:val="auto"/>
              </w:rPr>
              <w:t>Value(2)</w:t>
            </w:r>
          </w:p>
        </w:tc>
        <w:tc>
          <w:tcPr>
            <w:tcW w:w="1120" w:type="dxa"/>
            <w:vAlign w:val="bottom"/>
            <w:tcBorders>
              <w:bottom w:val="single" w:sz="8" w:color="auto"/>
            </w:tcBorders>
            <w:vMerge w:val="continue"/>
            <w:shd w:val="clear" w:color="auto" w:fill="F7A800"/>
          </w:tcPr>
          <w:p>
            <w:pPr>
              <w:spacing w:after="0"/>
              <w:rPr>
                <w:sz w:val="14"/>
                <w:szCs w:val="14"/>
                <w:color w:val="auto"/>
              </w:rPr>
            </w:pPr>
          </w:p>
        </w:tc>
        <w:tc>
          <w:tcPr>
            <w:tcW w:w="200" w:type="dxa"/>
            <w:vAlign w:val="bottom"/>
            <w:tcBorders>
              <w:bottom w:val="single" w:sz="8" w:color="auto"/>
              <w:right w:val="single" w:sz="8" w:color="auto"/>
            </w:tcBorders>
            <w:shd w:val="clear" w:color="auto" w:fill="F7A800"/>
          </w:tcPr>
          <w:p>
            <w:pPr>
              <w:spacing w:after="0"/>
              <w:rPr>
                <w:sz w:val="14"/>
                <w:szCs w:val="14"/>
                <w:color w:val="auto"/>
              </w:rPr>
            </w:pPr>
          </w:p>
        </w:tc>
        <w:tc>
          <w:tcPr>
            <w:tcW w:w="440" w:type="dxa"/>
            <w:vAlign w:val="bottom"/>
            <w:tcBorders>
              <w:bottom w:val="single" w:sz="8" w:color="auto"/>
            </w:tcBorders>
            <w:shd w:val="clear" w:color="auto" w:fill="F7A800"/>
          </w:tcPr>
          <w:p>
            <w:pPr>
              <w:spacing w:after="0"/>
              <w:rPr>
                <w:sz w:val="14"/>
                <w:szCs w:val="14"/>
                <w:color w:val="auto"/>
              </w:rPr>
            </w:pPr>
          </w:p>
        </w:tc>
        <w:tc>
          <w:tcPr>
            <w:tcW w:w="1220" w:type="dxa"/>
            <w:vAlign w:val="bottom"/>
            <w:tcBorders>
              <w:bottom w:val="single" w:sz="8" w:color="auto"/>
              <w:right w:val="single" w:sz="8" w:color="auto"/>
            </w:tcBorders>
            <w:shd w:val="clear" w:color="auto" w:fill="F7A800"/>
          </w:tcPr>
          <w:p>
            <w:pPr>
              <w:jc w:val="right"/>
              <w:ind w:right="516"/>
              <w:spacing w:after="0"/>
              <w:rPr>
                <w:sz w:val="20"/>
                <w:szCs w:val="20"/>
                <w:color w:val="auto"/>
              </w:rPr>
            </w:pPr>
            <w:r>
              <w:rPr>
                <w:rFonts w:ascii="Arial" w:cs="Arial" w:eastAsia="Arial" w:hAnsi="Arial"/>
                <w:sz w:val="14"/>
                <w:szCs w:val="14"/>
                <w:b w:val="1"/>
                <w:bCs w:val="1"/>
                <w:color w:val="auto"/>
              </w:rPr>
              <w:t>Value(2)</w:t>
            </w:r>
          </w:p>
        </w:tc>
        <w:tc>
          <w:tcPr>
            <w:tcW w:w="0" w:type="dxa"/>
            <w:vAlign w:val="bottom"/>
          </w:tcPr>
          <w:p>
            <w:pPr>
              <w:spacing w:after="0"/>
              <w:rPr>
                <w:sz w:val="1"/>
                <w:szCs w:val="1"/>
                <w:color w:val="auto"/>
              </w:rPr>
            </w:pPr>
          </w:p>
        </w:tc>
      </w:tr>
      <w:tr>
        <w:trPr>
          <w:trHeight w:val="269"/>
        </w:trPr>
        <w:tc>
          <w:tcPr>
            <w:tcW w:w="460" w:type="dxa"/>
            <w:vAlign w:val="bottom"/>
            <w:tcBorders>
              <w:right w:val="single" w:sz="8" w:color="auto"/>
            </w:tcBorders>
          </w:tcPr>
          <w:p>
            <w:pPr>
              <w:spacing w:after="0"/>
              <w:rPr>
                <w:sz w:val="22"/>
                <w:szCs w:val="22"/>
                <w:color w:val="auto"/>
              </w:rPr>
            </w:pPr>
          </w:p>
        </w:tc>
        <w:tc>
          <w:tcPr>
            <w:tcW w:w="760" w:type="dxa"/>
            <w:vAlign w:val="bottom"/>
            <w:tcBorders>
              <w:bottom w:val="single" w:sz="8" w:color="F7A800"/>
            </w:tcBorders>
            <w:shd w:val="clear" w:color="auto" w:fill="F7A800"/>
          </w:tcPr>
          <w:p>
            <w:pPr>
              <w:spacing w:after="0"/>
              <w:rPr>
                <w:sz w:val="22"/>
                <w:szCs w:val="22"/>
                <w:color w:val="auto"/>
              </w:rPr>
            </w:pPr>
          </w:p>
        </w:tc>
        <w:tc>
          <w:tcPr>
            <w:tcW w:w="3900" w:type="dxa"/>
            <w:vAlign w:val="bottom"/>
            <w:tcBorders>
              <w:bottom w:val="single" w:sz="8" w:color="F7A800"/>
              <w:right w:val="single" w:sz="8" w:color="auto"/>
            </w:tcBorders>
            <w:shd w:val="clear" w:color="auto" w:fill="F7A800"/>
          </w:tcPr>
          <w:p>
            <w:pPr>
              <w:jc w:val="center"/>
              <w:ind w:right="553"/>
              <w:spacing w:after="0"/>
              <w:rPr>
                <w:sz w:val="20"/>
                <w:szCs w:val="20"/>
                <w:color w:val="auto"/>
              </w:rPr>
            </w:pPr>
            <w:r>
              <w:rPr>
                <w:rFonts w:ascii="Arial" w:cs="Arial" w:eastAsia="Arial" w:hAnsi="Arial"/>
                <w:sz w:val="18"/>
                <w:szCs w:val="18"/>
                <w:color w:val="auto"/>
                <w:w w:val="92"/>
              </w:rPr>
              <w:t>Gary L. Carano</w:t>
            </w:r>
          </w:p>
        </w:tc>
        <w:tc>
          <w:tcPr>
            <w:tcW w:w="840" w:type="dxa"/>
            <w:vAlign w:val="bottom"/>
            <w:tcBorders>
              <w:bottom w:val="single" w:sz="8" w:color="F7A800"/>
              <w:right w:val="single" w:sz="8" w:color="auto"/>
            </w:tcBorders>
            <w:shd w:val="clear" w:color="auto" w:fill="F7A800"/>
          </w:tcPr>
          <w:p>
            <w:pPr>
              <w:jc w:val="center"/>
              <w:ind w:left="73"/>
              <w:spacing w:after="0"/>
              <w:rPr>
                <w:sz w:val="20"/>
                <w:szCs w:val="20"/>
                <w:color w:val="auto"/>
              </w:rPr>
            </w:pPr>
            <w:r>
              <w:rPr>
                <w:rFonts w:ascii="Arial" w:cs="Arial" w:eastAsia="Arial" w:hAnsi="Arial"/>
                <w:sz w:val="18"/>
                <w:szCs w:val="18"/>
                <w:color w:val="auto"/>
                <w:w w:val="87"/>
              </w:rPr>
              <w:t>31,121</w:t>
            </w:r>
          </w:p>
        </w:tc>
        <w:tc>
          <w:tcPr>
            <w:tcW w:w="400" w:type="dxa"/>
            <w:vAlign w:val="bottom"/>
            <w:tcBorders>
              <w:bottom w:val="single" w:sz="8" w:color="F7A800"/>
            </w:tcBorders>
            <w:shd w:val="clear" w:color="auto" w:fill="F7A800"/>
          </w:tcPr>
          <w:p>
            <w:pPr>
              <w:jc w:val="center"/>
              <w:ind w:left="153"/>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F7A800"/>
              <w:right w:val="single" w:sz="8" w:color="auto"/>
            </w:tcBorders>
            <w:shd w:val="clear" w:color="auto" w:fill="F7A800"/>
          </w:tcPr>
          <w:p>
            <w:pPr>
              <w:jc w:val="right"/>
              <w:ind w:right="236"/>
              <w:spacing w:after="0"/>
              <w:rPr>
                <w:sz w:val="20"/>
                <w:szCs w:val="20"/>
                <w:color w:val="auto"/>
              </w:rPr>
            </w:pPr>
            <w:r>
              <w:rPr>
                <w:rFonts w:ascii="Arial" w:cs="Arial" w:eastAsia="Arial" w:hAnsi="Arial"/>
                <w:sz w:val="18"/>
                <w:szCs w:val="18"/>
                <w:color w:val="auto"/>
              </w:rPr>
              <w:t>1,381,461</w:t>
            </w:r>
          </w:p>
        </w:tc>
        <w:tc>
          <w:tcPr>
            <w:tcW w:w="1120" w:type="dxa"/>
            <w:vAlign w:val="bottom"/>
            <w:tcBorders>
              <w:bottom w:val="single" w:sz="8" w:color="F7A800"/>
            </w:tcBorders>
            <w:shd w:val="clear" w:color="auto" w:fill="F7A800"/>
          </w:tcPr>
          <w:p>
            <w:pPr>
              <w:jc w:val="right"/>
              <w:ind w:right="33"/>
              <w:spacing w:after="0"/>
              <w:rPr>
                <w:sz w:val="20"/>
                <w:szCs w:val="20"/>
                <w:color w:val="auto"/>
              </w:rPr>
            </w:pPr>
            <w:r>
              <w:rPr>
                <w:rFonts w:ascii="Arial" w:cs="Arial" w:eastAsia="Arial" w:hAnsi="Arial"/>
                <w:sz w:val="18"/>
                <w:szCs w:val="18"/>
                <w:color w:val="auto"/>
              </w:rPr>
              <w:t>31,121</w:t>
            </w:r>
          </w:p>
        </w:tc>
        <w:tc>
          <w:tcPr>
            <w:tcW w:w="200" w:type="dxa"/>
            <w:vAlign w:val="bottom"/>
            <w:tcBorders>
              <w:bottom w:val="single" w:sz="8" w:color="F7A800"/>
              <w:right w:val="single" w:sz="8" w:color="auto"/>
            </w:tcBorders>
            <w:shd w:val="clear" w:color="auto" w:fill="F7A800"/>
          </w:tcPr>
          <w:p>
            <w:pPr>
              <w:spacing w:after="0"/>
              <w:rPr>
                <w:sz w:val="22"/>
                <w:szCs w:val="22"/>
                <w:color w:val="auto"/>
              </w:rPr>
            </w:pPr>
          </w:p>
        </w:tc>
        <w:tc>
          <w:tcPr>
            <w:tcW w:w="440" w:type="dxa"/>
            <w:vAlign w:val="bottom"/>
            <w:tcBorders>
              <w:bottom w:val="single" w:sz="8" w:color="F7A800"/>
            </w:tcBorders>
            <w:shd w:val="clear" w:color="auto" w:fill="F7A800"/>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F7A800"/>
              <w:right w:val="single" w:sz="8" w:color="auto"/>
            </w:tcBorders>
            <w:shd w:val="clear" w:color="auto" w:fill="F7A800"/>
          </w:tcPr>
          <w:p>
            <w:pPr>
              <w:jc w:val="right"/>
              <w:ind w:right="236"/>
              <w:spacing w:after="0"/>
              <w:rPr>
                <w:sz w:val="20"/>
                <w:szCs w:val="20"/>
                <w:color w:val="auto"/>
              </w:rPr>
            </w:pPr>
            <w:r>
              <w:rPr>
                <w:rFonts w:ascii="Arial" w:cs="Arial" w:eastAsia="Arial" w:hAnsi="Arial"/>
                <w:sz w:val="18"/>
                <w:szCs w:val="18"/>
                <w:color w:val="auto"/>
              </w:rPr>
              <w:t>1,381,461</w:t>
            </w:r>
          </w:p>
        </w:tc>
        <w:tc>
          <w:tcPr>
            <w:tcW w:w="0" w:type="dxa"/>
            <w:vAlign w:val="bottom"/>
          </w:tcPr>
          <w:p>
            <w:pPr>
              <w:spacing w:after="0"/>
              <w:rPr>
                <w:sz w:val="1"/>
                <w:szCs w:val="1"/>
                <w:color w:val="auto"/>
              </w:rPr>
            </w:pPr>
          </w:p>
        </w:tc>
      </w:tr>
      <w:tr>
        <w:trPr>
          <w:trHeight w:val="268"/>
        </w:trPr>
        <w:tc>
          <w:tcPr>
            <w:tcW w:w="460" w:type="dxa"/>
            <w:vAlign w:val="bottom"/>
            <w:tcBorders>
              <w:right w:val="single" w:sz="8" w:color="auto"/>
            </w:tcBorders>
          </w:tcPr>
          <w:p>
            <w:pPr>
              <w:spacing w:after="0"/>
              <w:rPr>
                <w:sz w:val="22"/>
                <w:szCs w:val="22"/>
                <w:color w:val="auto"/>
              </w:rPr>
            </w:pPr>
          </w:p>
        </w:tc>
        <w:tc>
          <w:tcPr>
            <w:tcW w:w="760" w:type="dxa"/>
            <w:vAlign w:val="bottom"/>
            <w:tcBorders>
              <w:top w:val="single" w:sz="8" w:color="auto"/>
              <w:bottom w:val="single" w:sz="8" w:color="F7A800"/>
            </w:tcBorders>
            <w:shd w:val="clear" w:color="auto" w:fill="F7A800"/>
          </w:tcPr>
          <w:p>
            <w:pPr>
              <w:spacing w:after="0"/>
              <w:rPr>
                <w:sz w:val="22"/>
                <w:szCs w:val="22"/>
                <w:color w:val="auto"/>
              </w:rPr>
            </w:pPr>
          </w:p>
        </w:tc>
        <w:tc>
          <w:tcPr>
            <w:tcW w:w="3900" w:type="dxa"/>
            <w:vAlign w:val="bottom"/>
            <w:tcBorders>
              <w:top w:val="single" w:sz="8" w:color="auto"/>
              <w:bottom w:val="single" w:sz="8" w:color="F7A800"/>
              <w:right w:val="single" w:sz="8" w:color="auto"/>
            </w:tcBorders>
            <w:shd w:val="clear" w:color="auto" w:fill="F7A800"/>
          </w:tcPr>
          <w:p>
            <w:pPr>
              <w:jc w:val="center"/>
              <w:ind w:right="553"/>
              <w:spacing w:after="0"/>
              <w:rPr>
                <w:sz w:val="20"/>
                <w:szCs w:val="20"/>
                <w:color w:val="auto"/>
              </w:rPr>
            </w:pPr>
            <w:r>
              <w:rPr>
                <w:rFonts w:ascii="Arial" w:cs="Arial" w:eastAsia="Arial" w:hAnsi="Arial"/>
                <w:sz w:val="18"/>
                <w:szCs w:val="18"/>
                <w:color w:val="auto"/>
                <w:w w:val="89"/>
              </w:rPr>
              <w:t>Thomas R. Reeg</w:t>
            </w:r>
          </w:p>
        </w:tc>
        <w:tc>
          <w:tcPr>
            <w:tcW w:w="840" w:type="dxa"/>
            <w:vAlign w:val="bottom"/>
            <w:tcBorders>
              <w:top w:val="single" w:sz="8" w:color="auto"/>
              <w:bottom w:val="single" w:sz="8" w:color="F7A800"/>
              <w:right w:val="single" w:sz="8" w:color="auto"/>
            </w:tcBorders>
            <w:shd w:val="clear" w:color="auto" w:fill="F7A800"/>
          </w:tcPr>
          <w:p>
            <w:pPr>
              <w:jc w:val="center"/>
              <w:ind w:left="73"/>
              <w:spacing w:after="0"/>
              <w:rPr>
                <w:sz w:val="20"/>
                <w:szCs w:val="20"/>
                <w:color w:val="auto"/>
              </w:rPr>
            </w:pPr>
            <w:r>
              <w:rPr>
                <w:rFonts w:ascii="Arial" w:cs="Arial" w:eastAsia="Arial" w:hAnsi="Arial"/>
                <w:sz w:val="18"/>
                <w:szCs w:val="18"/>
                <w:color w:val="auto"/>
                <w:w w:val="87"/>
              </w:rPr>
              <w:t>59,044</w:t>
            </w:r>
          </w:p>
        </w:tc>
        <w:tc>
          <w:tcPr>
            <w:tcW w:w="400" w:type="dxa"/>
            <w:vAlign w:val="bottom"/>
            <w:tcBorders>
              <w:top w:val="single" w:sz="8" w:color="auto"/>
              <w:bottom w:val="single" w:sz="8" w:color="F7A800"/>
            </w:tcBorders>
            <w:shd w:val="clear" w:color="auto" w:fill="F7A800"/>
          </w:tcPr>
          <w:p>
            <w:pPr>
              <w:jc w:val="center"/>
              <w:ind w:left="153"/>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F7A800"/>
              <w:right w:val="single" w:sz="8" w:color="auto"/>
            </w:tcBorders>
            <w:shd w:val="clear" w:color="auto" w:fill="F7A800"/>
          </w:tcPr>
          <w:p>
            <w:pPr>
              <w:jc w:val="right"/>
              <w:ind w:right="236"/>
              <w:spacing w:after="0"/>
              <w:rPr>
                <w:sz w:val="20"/>
                <w:szCs w:val="20"/>
                <w:color w:val="auto"/>
              </w:rPr>
            </w:pPr>
            <w:r>
              <w:rPr>
                <w:rFonts w:ascii="Arial" w:cs="Arial" w:eastAsia="Arial" w:hAnsi="Arial"/>
                <w:sz w:val="18"/>
                <w:szCs w:val="18"/>
                <w:color w:val="auto"/>
              </w:rPr>
              <w:t>2,620,963</w:t>
            </w:r>
          </w:p>
        </w:tc>
        <w:tc>
          <w:tcPr>
            <w:tcW w:w="1120" w:type="dxa"/>
            <w:vAlign w:val="bottom"/>
            <w:tcBorders>
              <w:top w:val="single" w:sz="8" w:color="auto"/>
              <w:bottom w:val="single" w:sz="8" w:color="F7A800"/>
            </w:tcBorders>
            <w:shd w:val="clear" w:color="auto" w:fill="F7A800"/>
          </w:tcPr>
          <w:p>
            <w:pPr>
              <w:jc w:val="right"/>
              <w:ind w:right="33"/>
              <w:spacing w:after="0"/>
              <w:rPr>
                <w:sz w:val="20"/>
                <w:szCs w:val="20"/>
                <w:color w:val="auto"/>
              </w:rPr>
            </w:pPr>
            <w:r>
              <w:rPr>
                <w:rFonts w:ascii="Arial" w:cs="Arial" w:eastAsia="Arial" w:hAnsi="Arial"/>
                <w:sz w:val="18"/>
                <w:szCs w:val="18"/>
                <w:color w:val="auto"/>
              </w:rPr>
              <w:t>59,044</w:t>
            </w:r>
          </w:p>
        </w:tc>
        <w:tc>
          <w:tcPr>
            <w:tcW w:w="200" w:type="dxa"/>
            <w:vAlign w:val="bottom"/>
            <w:tcBorders>
              <w:top w:val="single" w:sz="8" w:color="auto"/>
              <w:bottom w:val="single" w:sz="8" w:color="F7A800"/>
              <w:right w:val="single" w:sz="8" w:color="auto"/>
            </w:tcBorders>
            <w:shd w:val="clear" w:color="auto" w:fill="F7A800"/>
          </w:tcPr>
          <w:p>
            <w:pPr>
              <w:spacing w:after="0"/>
              <w:rPr>
                <w:sz w:val="22"/>
                <w:szCs w:val="22"/>
                <w:color w:val="auto"/>
              </w:rPr>
            </w:pPr>
          </w:p>
        </w:tc>
        <w:tc>
          <w:tcPr>
            <w:tcW w:w="440" w:type="dxa"/>
            <w:vAlign w:val="bottom"/>
            <w:tcBorders>
              <w:top w:val="single" w:sz="8" w:color="auto"/>
              <w:bottom w:val="single" w:sz="8" w:color="F7A800"/>
            </w:tcBorders>
            <w:shd w:val="clear" w:color="auto" w:fill="F7A800"/>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F7A800"/>
              <w:right w:val="single" w:sz="8" w:color="auto"/>
            </w:tcBorders>
            <w:shd w:val="clear" w:color="auto" w:fill="F7A800"/>
          </w:tcPr>
          <w:p>
            <w:pPr>
              <w:jc w:val="right"/>
              <w:ind w:right="236"/>
              <w:spacing w:after="0"/>
              <w:rPr>
                <w:sz w:val="20"/>
                <w:szCs w:val="20"/>
                <w:color w:val="auto"/>
              </w:rPr>
            </w:pPr>
            <w:r>
              <w:rPr>
                <w:rFonts w:ascii="Arial" w:cs="Arial" w:eastAsia="Arial" w:hAnsi="Arial"/>
                <w:sz w:val="18"/>
                <w:szCs w:val="18"/>
                <w:color w:val="auto"/>
              </w:rPr>
              <w:t>2,620,963</w:t>
            </w:r>
          </w:p>
        </w:tc>
        <w:tc>
          <w:tcPr>
            <w:tcW w:w="0" w:type="dxa"/>
            <w:vAlign w:val="bottom"/>
          </w:tcPr>
          <w:p>
            <w:pPr>
              <w:spacing w:after="0"/>
              <w:rPr>
                <w:sz w:val="1"/>
                <w:szCs w:val="1"/>
                <w:color w:val="auto"/>
              </w:rPr>
            </w:pPr>
          </w:p>
        </w:tc>
      </w:tr>
      <w:tr>
        <w:trPr>
          <w:trHeight w:val="268"/>
        </w:trPr>
        <w:tc>
          <w:tcPr>
            <w:tcW w:w="460" w:type="dxa"/>
            <w:vAlign w:val="bottom"/>
            <w:tcBorders>
              <w:right w:val="single" w:sz="8" w:color="auto"/>
            </w:tcBorders>
          </w:tcPr>
          <w:p>
            <w:pPr>
              <w:spacing w:after="0"/>
              <w:rPr>
                <w:sz w:val="22"/>
                <w:szCs w:val="22"/>
                <w:color w:val="auto"/>
              </w:rPr>
            </w:pPr>
          </w:p>
        </w:tc>
        <w:tc>
          <w:tcPr>
            <w:tcW w:w="760" w:type="dxa"/>
            <w:vAlign w:val="bottom"/>
            <w:tcBorders>
              <w:top w:val="single" w:sz="8" w:color="auto"/>
              <w:bottom w:val="single" w:sz="8" w:color="F7A800"/>
            </w:tcBorders>
            <w:shd w:val="clear" w:color="auto" w:fill="F7A800"/>
          </w:tcPr>
          <w:p>
            <w:pPr>
              <w:spacing w:after="0"/>
              <w:rPr>
                <w:sz w:val="22"/>
                <w:szCs w:val="22"/>
                <w:color w:val="auto"/>
              </w:rPr>
            </w:pPr>
          </w:p>
        </w:tc>
        <w:tc>
          <w:tcPr>
            <w:tcW w:w="3900" w:type="dxa"/>
            <w:vAlign w:val="bottom"/>
            <w:tcBorders>
              <w:top w:val="single" w:sz="8" w:color="auto"/>
              <w:bottom w:val="single" w:sz="8" w:color="F7A800"/>
              <w:right w:val="single" w:sz="8" w:color="auto"/>
            </w:tcBorders>
            <w:shd w:val="clear" w:color="auto" w:fill="F7A800"/>
          </w:tcPr>
          <w:p>
            <w:pPr>
              <w:jc w:val="center"/>
              <w:ind w:right="553"/>
              <w:spacing w:after="0"/>
              <w:rPr>
                <w:sz w:val="20"/>
                <w:szCs w:val="20"/>
                <w:color w:val="auto"/>
              </w:rPr>
            </w:pPr>
            <w:r>
              <w:rPr>
                <w:rFonts w:ascii="Arial" w:cs="Arial" w:eastAsia="Arial" w:hAnsi="Arial"/>
                <w:sz w:val="18"/>
                <w:szCs w:val="18"/>
                <w:color w:val="auto"/>
                <w:w w:val="91"/>
              </w:rPr>
              <w:t>Anthony L. Carano</w:t>
            </w:r>
          </w:p>
        </w:tc>
        <w:tc>
          <w:tcPr>
            <w:tcW w:w="840" w:type="dxa"/>
            <w:vAlign w:val="bottom"/>
            <w:tcBorders>
              <w:top w:val="single" w:sz="8" w:color="auto"/>
              <w:bottom w:val="single" w:sz="8" w:color="F7A800"/>
              <w:right w:val="single" w:sz="8" w:color="auto"/>
            </w:tcBorders>
            <w:shd w:val="clear" w:color="auto" w:fill="F7A800"/>
          </w:tcPr>
          <w:p>
            <w:pPr>
              <w:jc w:val="center"/>
              <w:ind w:left="73"/>
              <w:spacing w:after="0"/>
              <w:rPr>
                <w:sz w:val="20"/>
                <w:szCs w:val="20"/>
                <w:color w:val="auto"/>
              </w:rPr>
            </w:pPr>
            <w:r>
              <w:rPr>
                <w:rFonts w:ascii="Arial" w:cs="Arial" w:eastAsia="Arial" w:hAnsi="Arial"/>
                <w:sz w:val="18"/>
                <w:szCs w:val="18"/>
                <w:color w:val="auto"/>
                <w:w w:val="87"/>
              </w:rPr>
              <w:t>24,602</w:t>
            </w:r>
          </w:p>
        </w:tc>
        <w:tc>
          <w:tcPr>
            <w:tcW w:w="400" w:type="dxa"/>
            <w:vAlign w:val="bottom"/>
            <w:tcBorders>
              <w:top w:val="single" w:sz="8" w:color="auto"/>
              <w:bottom w:val="single" w:sz="8" w:color="F7A800"/>
            </w:tcBorders>
            <w:shd w:val="clear" w:color="auto" w:fill="F7A800"/>
          </w:tcPr>
          <w:p>
            <w:pPr>
              <w:jc w:val="center"/>
              <w:ind w:left="153"/>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F7A800"/>
              <w:right w:val="single" w:sz="8" w:color="auto"/>
            </w:tcBorders>
            <w:shd w:val="clear" w:color="auto" w:fill="F7A800"/>
          </w:tcPr>
          <w:p>
            <w:pPr>
              <w:jc w:val="right"/>
              <w:ind w:right="236"/>
              <w:spacing w:after="0"/>
              <w:rPr>
                <w:sz w:val="20"/>
                <w:szCs w:val="20"/>
                <w:color w:val="auto"/>
              </w:rPr>
            </w:pPr>
            <w:r>
              <w:rPr>
                <w:rFonts w:ascii="Arial" w:cs="Arial" w:eastAsia="Arial" w:hAnsi="Arial"/>
                <w:sz w:val="18"/>
                <w:szCs w:val="18"/>
                <w:color w:val="auto"/>
              </w:rPr>
              <w:t>1,092,083</w:t>
            </w:r>
          </w:p>
        </w:tc>
        <w:tc>
          <w:tcPr>
            <w:tcW w:w="1120" w:type="dxa"/>
            <w:vAlign w:val="bottom"/>
            <w:tcBorders>
              <w:top w:val="single" w:sz="8" w:color="auto"/>
              <w:bottom w:val="single" w:sz="8" w:color="F7A800"/>
            </w:tcBorders>
            <w:shd w:val="clear" w:color="auto" w:fill="F7A800"/>
          </w:tcPr>
          <w:p>
            <w:pPr>
              <w:jc w:val="right"/>
              <w:ind w:right="33"/>
              <w:spacing w:after="0"/>
              <w:rPr>
                <w:sz w:val="20"/>
                <w:szCs w:val="20"/>
                <w:color w:val="auto"/>
              </w:rPr>
            </w:pPr>
            <w:r>
              <w:rPr>
                <w:rFonts w:ascii="Arial" w:cs="Arial" w:eastAsia="Arial" w:hAnsi="Arial"/>
                <w:sz w:val="18"/>
                <w:szCs w:val="18"/>
                <w:color w:val="auto"/>
              </w:rPr>
              <w:t>24,602</w:t>
            </w:r>
          </w:p>
        </w:tc>
        <w:tc>
          <w:tcPr>
            <w:tcW w:w="200" w:type="dxa"/>
            <w:vAlign w:val="bottom"/>
            <w:tcBorders>
              <w:top w:val="single" w:sz="8" w:color="auto"/>
              <w:bottom w:val="single" w:sz="8" w:color="F7A800"/>
              <w:right w:val="single" w:sz="8" w:color="auto"/>
            </w:tcBorders>
            <w:shd w:val="clear" w:color="auto" w:fill="F7A800"/>
          </w:tcPr>
          <w:p>
            <w:pPr>
              <w:spacing w:after="0"/>
              <w:rPr>
                <w:sz w:val="22"/>
                <w:szCs w:val="22"/>
                <w:color w:val="auto"/>
              </w:rPr>
            </w:pPr>
          </w:p>
        </w:tc>
        <w:tc>
          <w:tcPr>
            <w:tcW w:w="440" w:type="dxa"/>
            <w:vAlign w:val="bottom"/>
            <w:tcBorders>
              <w:top w:val="single" w:sz="8" w:color="auto"/>
              <w:bottom w:val="single" w:sz="8" w:color="F7A800"/>
            </w:tcBorders>
            <w:shd w:val="clear" w:color="auto" w:fill="F7A800"/>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F7A800"/>
              <w:right w:val="single" w:sz="8" w:color="auto"/>
            </w:tcBorders>
            <w:shd w:val="clear" w:color="auto" w:fill="F7A800"/>
          </w:tcPr>
          <w:p>
            <w:pPr>
              <w:jc w:val="right"/>
              <w:ind w:right="236"/>
              <w:spacing w:after="0"/>
              <w:rPr>
                <w:sz w:val="20"/>
                <w:szCs w:val="20"/>
                <w:color w:val="auto"/>
              </w:rPr>
            </w:pPr>
            <w:r>
              <w:rPr>
                <w:rFonts w:ascii="Arial" w:cs="Arial" w:eastAsia="Arial" w:hAnsi="Arial"/>
                <w:sz w:val="18"/>
                <w:szCs w:val="18"/>
                <w:color w:val="auto"/>
              </w:rPr>
              <w:t>1,092,083</w:t>
            </w:r>
          </w:p>
        </w:tc>
        <w:tc>
          <w:tcPr>
            <w:tcW w:w="0" w:type="dxa"/>
            <w:vAlign w:val="bottom"/>
          </w:tcPr>
          <w:p>
            <w:pPr>
              <w:spacing w:after="0"/>
              <w:rPr>
                <w:sz w:val="1"/>
                <w:szCs w:val="1"/>
                <w:color w:val="auto"/>
              </w:rPr>
            </w:pPr>
          </w:p>
        </w:tc>
      </w:tr>
      <w:tr>
        <w:trPr>
          <w:trHeight w:val="268"/>
        </w:trPr>
        <w:tc>
          <w:tcPr>
            <w:tcW w:w="460" w:type="dxa"/>
            <w:vAlign w:val="bottom"/>
            <w:tcBorders>
              <w:right w:val="single" w:sz="8" w:color="auto"/>
            </w:tcBorders>
          </w:tcPr>
          <w:p>
            <w:pPr>
              <w:spacing w:after="0"/>
              <w:rPr>
                <w:sz w:val="22"/>
                <w:szCs w:val="22"/>
                <w:color w:val="auto"/>
              </w:rPr>
            </w:pPr>
          </w:p>
        </w:tc>
        <w:tc>
          <w:tcPr>
            <w:tcW w:w="760" w:type="dxa"/>
            <w:vAlign w:val="bottom"/>
            <w:tcBorders>
              <w:top w:val="single" w:sz="8" w:color="auto"/>
              <w:bottom w:val="single" w:sz="8" w:color="F7A800"/>
            </w:tcBorders>
            <w:shd w:val="clear" w:color="auto" w:fill="F7A800"/>
          </w:tcPr>
          <w:p>
            <w:pPr>
              <w:spacing w:after="0"/>
              <w:rPr>
                <w:sz w:val="22"/>
                <w:szCs w:val="22"/>
                <w:color w:val="auto"/>
              </w:rPr>
            </w:pPr>
          </w:p>
        </w:tc>
        <w:tc>
          <w:tcPr>
            <w:tcW w:w="3900" w:type="dxa"/>
            <w:vAlign w:val="bottom"/>
            <w:tcBorders>
              <w:top w:val="single" w:sz="8" w:color="auto"/>
              <w:bottom w:val="single" w:sz="8" w:color="F7A800"/>
              <w:right w:val="single" w:sz="8" w:color="auto"/>
            </w:tcBorders>
            <w:shd w:val="clear" w:color="auto" w:fill="F7A800"/>
          </w:tcPr>
          <w:p>
            <w:pPr>
              <w:jc w:val="center"/>
              <w:ind w:right="553"/>
              <w:spacing w:after="0"/>
              <w:rPr>
                <w:sz w:val="20"/>
                <w:szCs w:val="20"/>
                <w:color w:val="auto"/>
              </w:rPr>
            </w:pPr>
            <w:r>
              <w:rPr>
                <w:rFonts w:ascii="Arial" w:cs="Arial" w:eastAsia="Arial" w:hAnsi="Arial"/>
                <w:sz w:val="18"/>
                <w:szCs w:val="18"/>
                <w:color w:val="auto"/>
                <w:w w:val="90"/>
              </w:rPr>
              <w:t>Edmund L. Quatmann, Jr.</w:t>
            </w:r>
          </w:p>
        </w:tc>
        <w:tc>
          <w:tcPr>
            <w:tcW w:w="840" w:type="dxa"/>
            <w:vAlign w:val="bottom"/>
            <w:tcBorders>
              <w:top w:val="single" w:sz="8" w:color="auto"/>
              <w:bottom w:val="single" w:sz="8" w:color="F7A800"/>
              <w:right w:val="single" w:sz="8" w:color="auto"/>
            </w:tcBorders>
            <w:shd w:val="clear" w:color="auto" w:fill="F7A800"/>
          </w:tcPr>
          <w:p>
            <w:pPr>
              <w:jc w:val="center"/>
              <w:ind w:left="73"/>
              <w:spacing w:after="0"/>
              <w:rPr>
                <w:sz w:val="20"/>
                <w:szCs w:val="20"/>
                <w:color w:val="auto"/>
              </w:rPr>
            </w:pPr>
            <w:r>
              <w:rPr>
                <w:rFonts w:ascii="Arial" w:cs="Arial" w:eastAsia="Arial" w:hAnsi="Arial"/>
                <w:sz w:val="18"/>
                <w:szCs w:val="18"/>
                <w:color w:val="auto"/>
                <w:w w:val="88"/>
              </w:rPr>
              <w:t>9,225</w:t>
            </w:r>
          </w:p>
        </w:tc>
        <w:tc>
          <w:tcPr>
            <w:tcW w:w="400" w:type="dxa"/>
            <w:vAlign w:val="bottom"/>
            <w:tcBorders>
              <w:top w:val="single" w:sz="8" w:color="auto"/>
              <w:bottom w:val="single" w:sz="8" w:color="F7A800"/>
            </w:tcBorders>
            <w:shd w:val="clear" w:color="auto" w:fill="F7A800"/>
          </w:tcPr>
          <w:p>
            <w:pPr>
              <w:jc w:val="center"/>
              <w:ind w:left="153"/>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F7A800"/>
              <w:right w:val="single" w:sz="8" w:color="auto"/>
            </w:tcBorders>
            <w:shd w:val="clear" w:color="auto" w:fill="F7A800"/>
          </w:tcPr>
          <w:p>
            <w:pPr>
              <w:jc w:val="right"/>
              <w:ind w:right="236"/>
              <w:spacing w:after="0"/>
              <w:rPr>
                <w:sz w:val="20"/>
                <w:szCs w:val="20"/>
                <w:color w:val="auto"/>
              </w:rPr>
            </w:pPr>
            <w:r>
              <w:rPr>
                <w:rFonts w:ascii="Arial" w:cs="Arial" w:eastAsia="Arial" w:hAnsi="Arial"/>
                <w:sz w:val="18"/>
                <w:szCs w:val="18"/>
                <w:color w:val="auto"/>
              </w:rPr>
              <w:t>409,498</w:t>
            </w:r>
          </w:p>
        </w:tc>
        <w:tc>
          <w:tcPr>
            <w:tcW w:w="1120" w:type="dxa"/>
            <w:vAlign w:val="bottom"/>
            <w:tcBorders>
              <w:top w:val="single" w:sz="8" w:color="auto"/>
              <w:bottom w:val="single" w:sz="8" w:color="F7A800"/>
            </w:tcBorders>
            <w:shd w:val="clear" w:color="auto" w:fill="F7A800"/>
          </w:tcPr>
          <w:p>
            <w:pPr>
              <w:jc w:val="right"/>
              <w:ind w:right="33"/>
              <w:spacing w:after="0"/>
              <w:rPr>
                <w:sz w:val="20"/>
                <w:szCs w:val="20"/>
                <w:color w:val="auto"/>
              </w:rPr>
            </w:pPr>
            <w:r>
              <w:rPr>
                <w:rFonts w:ascii="Arial" w:cs="Arial" w:eastAsia="Arial" w:hAnsi="Arial"/>
                <w:sz w:val="18"/>
                <w:szCs w:val="18"/>
                <w:color w:val="auto"/>
              </w:rPr>
              <w:t>9,225</w:t>
            </w:r>
          </w:p>
        </w:tc>
        <w:tc>
          <w:tcPr>
            <w:tcW w:w="200" w:type="dxa"/>
            <w:vAlign w:val="bottom"/>
            <w:tcBorders>
              <w:top w:val="single" w:sz="8" w:color="auto"/>
              <w:bottom w:val="single" w:sz="8" w:color="F7A800"/>
              <w:right w:val="single" w:sz="8" w:color="auto"/>
            </w:tcBorders>
            <w:shd w:val="clear" w:color="auto" w:fill="F7A800"/>
          </w:tcPr>
          <w:p>
            <w:pPr>
              <w:spacing w:after="0"/>
              <w:rPr>
                <w:sz w:val="22"/>
                <w:szCs w:val="22"/>
                <w:color w:val="auto"/>
              </w:rPr>
            </w:pPr>
          </w:p>
        </w:tc>
        <w:tc>
          <w:tcPr>
            <w:tcW w:w="440" w:type="dxa"/>
            <w:vAlign w:val="bottom"/>
            <w:tcBorders>
              <w:top w:val="single" w:sz="8" w:color="auto"/>
              <w:bottom w:val="single" w:sz="8" w:color="F7A800"/>
            </w:tcBorders>
            <w:shd w:val="clear" w:color="auto" w:fill="F7A800"/>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F7A800"/>
              <w:right w:val="single" w:sz="8" w:color="auto"/>
            </w:tcBorders>
            <w:shd w:val="clear" w:color="auto" w:fill="F7A800"/>
          </w:tcPr>
          <w:p>
            <w:pPr>
              <w:jc w:val="right"/>
              <w:ind w:right="236"/>
              <w:spacing w:after="0"/>
              <w:rPr>
                <w:sz w:val="20"/>
                <w:szCs w:val="20"/>
                <w:color w:val="auto"/>
              </w:rPr>
            </w:pPr>
            <w:r>
              <w:rPr>
                <w:rFonts w:ascii="Arial" w:cs="Arial" w:eastAsia="Arial" w:hAnsi="Arial"/>
                <w:sz w:val="18"/>
                <w:szCs w:val="18"/>
                <w:color w:val="auto"/>
              </w:rPr>
              <w:t>409,498</w:t>
            </w:r>
          </w:p>
        </w:tc>
        <w:tc>
          <w:tcPr>
            <w:tcW w:w="0" w:type="dxa"/>
            <w:vAlign w:val="bottom"/>
          </w:tcPr>
          <w:p>
            <w:pPr>
              <w:spacing w:after="0"/>
              <w:rPr>
                <w:sz w:val="1"/>
                <w:szCs w:val="1"/>
                <w:color w:val="auto"/>
              </w:rPr>
            </w:pPr>
          </w:p>
        </w:tc>
      </w:tr>
      <w:tr>
        <w:trPr>
          <w:trHeight w:val="269"/>
        </w:trPr>
        <w:tc>
          <w:tcPr>
            <w:tcW w:w="460" w:type="dxa"/>
            <w:vAlign w:val="bottom"/>
            <w:tcBorders>
              <w:right w:val="single" w:sz="8" w:color="auto"/>
            </w:tcBorders>
          </w:tcPr>
          <w:p>
            <w:pPr>
              <w:spacing w:after="0"/>
              <w:rPr>
                <w:sz w:val="22"/>
                <w:szCs w:val="22"/>
                <w:color w:val="auto"/>
              </w:rPr>
            </w:pPr>
          </w:p>
        </w:tc>
        <w:tc>
          <w:tcPr>
            <w:tcW w:w="760" w:type="dxa"/>
            <w:vAlign w:val="bottom"/>
            <w:tcBorders>
              <w:top w:val="single" w:sz="8" w:color="auto"/>
              <w:bottom w:val="single" w:sz="8" w:color="F7A800"/>
            </w:tcBorders>
            <w:shd w:val="clear" w:color="auto" w:fill="F7A800"/>
          </w:tcPr>
          <w:p>
            <w:pPr>
              <w:spacing w:after="0"/>
              <w:rPr>
                <w:sz w:val="22"/>
                <w:szCs w:val="22"/>
                <w:color w:val="auto"/>
              </w:rPr>
            </w:pPr>
          </w:p>
        </w:tc>
        <w:tc>
          <w:tcPr>
            <w:tcW w:w="3900" w:type="dxa"/>
            <w:vAlign w:val="bottom"/>
            <w:tcBorders>
              <w:top w:val="single" w:sz="8" w:color="auto"/>
              <w:bottom w:val="single" w:sz="8" w:color="F7A800"/>
              <w:right w:val="single" w:sz="8" w:color="auto"/>
            </w:tcBorders>
            <w:shd w:val="clear" w:color="auto" w:fill="F7A800"/>
          </w:tcPr>
          <w:p>
            <w:pPr>
              <w:jc w:val="center"/>
              <w:ind w:right="553"/>
              <w:spacing w:after="0"/>
              <w:rPr>
                <w:sz w:val="20"/>
                <w:szCs w:val="20"/>
                <w:color w:val="auto"/>
              </w:rPr>
            </w:pPr>
            <w:r>
              <w:rPr>
                <w:rFonts w:ascii="Arial" w:cs="Arial" w:eastAsia="Arial" w:hAnsi="Arial"/>
                <w:sz w:val="18"/>
                <w:szCs w:val="18"/>
                <w:color w:val="auto"/>
                <w:w w:val="93"/>
              </w:rPr>
              <w:t>Bret Yunker(3)</w:t>
            </w:r>
          </w:p>
        </w:tc>
        <w:tc>
          <w:tcPr>
            <w:tcW w:w="840" w:type="dxa"/>
            <w:vAlign w:val="bottom"/>
            <w:tcBorders>
              <w:top w:val="single" w:sz="8" w:color="auto"/>
              <w:bottom w:val="single" w:sz="8" w:color="F7A800"/>
              <w:right w:val="single" w:sz="8" w:color="auto"/>
            </w:tcBorders>
            <w:shd w:val="clear" w:color="auto" w:fill="F7A800"/>
          </w:tcPr>
          <w:p>
            <w:pPr>
              <w:jc w:val="center"/>
              <w:ind w:left="73"/>
              <w:spacing w:after="0"/>
              <w:rPr>
                <w:sz w:val="20"/>
                <w:szCs w:val="20"/>
                <w:color w:val="auto"/>
              </w:rPr>
            </w:pPr>
            <w:r>
              <w:rPr>
                <w:rFonts w:ascii="Arial" w:cs="Arial" w:eastAsia="Arial" w:hAnsi="Arial"/>
                <w:sz w:val="18"/>
                <w:szCs w:val="18"/>
                <w:color w:val="auto"/>
                <w:w w:val="87"/>
              </w:rPr>
              <w:t>76,028</w:t>
            </w:r>
          </w:p>
        </w:tc>
        <w:tc>
          <w:tcPr>
            <w:tcW w:w="400" w:type="dxa"/>
            <w:vAlign w:val="bottom"/>
            <w:tcBorders>
              <w:top w:val="single" w:sz="8" w:color="auto"/>
              <w:bottom w:val="single" w:sz="8" w:color="F7A800"/>
            </w:tcBorders>
            <w:shd w:val="clear" w:color="auto" w:fill="F7A800"/>
          </w:tcPr>
          <w:p>
            <w:pPr>
              <w:jc w:val="center"/>
              <w:ind w:left="153"/>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F7A800"/>
              <w:right w:val="single" w:sz="8" w:color="auto"/>
            </w:tcBorders>
            <w:shd w:val="clear" w:color="auto" w:fill="F7A800"/>
          </w:tcPr>
          <w:p>
            <w:pPr>
              <w:jc w:val="right"/>
              <w:ind w:right="236"/>
              <w:spacing w:after="0"/>
              <w:rPr>
                <w:sz w:val="20"/>
                <w:szCs w:val="20"/>
                <w:color w:val="auto"/>
              </w:rPr>
            </w:pPr>
            <w:r>
              <w:rPr>
                <w:rFonts w:ascii="Arial" w:cs="Arial" w:eastAsia="Arial" w:hAnsi="Arial"/>
                <w:sz w:val="18"/>
                <w:szCs w:val="18"/>
                <w:color w:val="auto"/>
              </w:rPr>
              <w:t>3,675,194</w:t>
            </w:r>
          </w:p>
        </w:tc>
        <w:tc>
          <w:tcPr>
            <w:tcW w:w="1120" w:type="dxa"/>
            <w:vAlign w:val="bottom"/>
            <w:tcBorders>
              <w:top w:val="single" w:sz="8" w:color="auto"/>
              <w:bottom w:val="single" w:sz="8" w:color="F7A800"/>
            </w:tcBorders>
            <w:shd w:val="clear" w:color="auto" w:fill="F7A800"/>
          </w:tcPr>
          <w:p>
            <w:pPr>
              <w:jc w:val="right"/>
              <w:ind w:right="33"/>
              <w:spacing w:after="0"/>
              <w:rPr>
                <w:sz w:val="20"/>
                <w:szCs w:val="20"/>
                <w:color w:val="auto"/>
              </w:rPr>
            </w:pPr>
            <w:r>
              <w:rPr>
                <w:rFonts w:ascii="Arial" w:cs="Arial" w:eastAsia="Arial" w:hAnsi="Arial"/>
                <w:sz w:val="18"/>
                <w:szCs w:val="18"/>
                <w:color w:val="auto"/>
              </w:rPr>
              <w:t>15,228</w:t>
            </w:r>
          </w:p>
        </w:tc>
        <w:tc>
          <w:tcPr>
            <w:tcW w:w="200" w:type="dxa"/>
            <w:vAlign w:val="bottom"/>
            <w:tcBorders>
              <w:top w:val="single" w:sz="8" w:color="auto"/>
              <w:bottom w:val="single" w:sz="8" w:color="F7A800"/>
              <w:right w:val="single" w:sz="8" w:color="auto"/>
            </w:tcBorders>
            <w:shd w:val="clear" w:color="auto" w:fill="F7A800"/>
          </w:tcPr>
          <w:p>
            <w:pPr>
              <w:spacing w:after="0"/>
              <w:rPr>
                <w:sz w:val="22"/>
                <w:szCs w:val="22"/>
                <w:color w:val="auto"/>
              </w:rPr>
            </w:pPr>
          </w:p>
        </w:tc>
        <w:tc>
          <w:tcPr>
            <w:tcW w:w="440" w:type="dxa"/>
            <w:vAlign w:val="bottom"/>
            <w:tcBorders>
              <w:top w:val="single" w:sz="8" w:color="auto"/>
              <w:bottom w:val="single" w:sz="8" w:color="F7A800"/>
            </w:tcBorders>
            <w:shd w:val="clear" w:color="auto" w:fill="F7A800"/>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F7A800"/>
              <w:right w:val="single" w:sz="8" w:color="auto"/>
            </w:tcBorders>
            <w:shd w:val="clear" w:color="auto" w:fill="F7A800"/>
          </w:tcPr>
          <w:p>
            <w:pPr>
              <w:jc w:val="right"/>
              <w:ind w:right="236"/>
              <w:spacing w:after="0"/>
              <w:rPr>
                <w:sz w:val="20"/>
                <w:szCs w:val="20"/>
                <w:color w:val="auto"/>
              </w:rPr>
            </w:pPr>
            <w:r>
              <w:rPr>
                <w:rFonts w:ascii="Arial" w:cs="Arial" w:eastAsia="Arial" w:hAnsi="Arial"/>
                <w:sz w:val="18"/>
                <w:szCs w:val="18"/>
                <w:color w:val="auto"/>
              </w:rPr>
              <w:t>736,122</w:t>
            </w:r>
          </w:p>
        </w:tc>
        <w:tc>
          <w:tcPr>
            <w:tcW w:w="0" w:type="dxa"/>
            <w:vAlign w:val="bottom"/>
          </w:tcPr>
          <w:p>
            <w:pPr>
              <w:spacing w:after="0"/>
              <w:rPr>
                <w:sz w:val="1"/>
                <w:szCs w:val="1"/>
                <w:color w:val="auto"/>
              </w:rPr>
            </w:pPr>
          </w:p>
        </w:tc>
      </w:tr>
      <w:tr>
        <w:trPr>
          <w:trHeight w:val="128"/>
        </w:trPr>
        <w:tc>
          <w:tcPr>
            <w:tcW w:w="460" w:type="dxa"/>
            <w:vAlign w:val="bottom"/>
            <w:tcBorders>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39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74"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Number of PSUs and corresponding values are shown in the table based on target level achievement. Actual number of PSUs and the value thereof that may be issued is subject to future determination based on the achievement of the applicable performance goals.</w:t>
      </w:r>
    </w:p>
    <w:p>
      <w:pPr>
        <w:ind w:left="540" w:right="300" w:hanging="424"/>
        <w:spacing w:after="0" w:line="265"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the value of units based on $44.39 per share, which was our closing stock price as of the grant date, January 25, 2019. The value of Mr. Yunker’s units is based on $48.34 per share, which was our closing stock price as of the grant date, May 2, 2019.</w:t>
      </w:r>
    </w:p>
    <w:p>
      <w:pPr>
        <w:ind w:left="540" w:hanging="424"/>
        <w:spacing w:after="0" w:line="281"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May 2019, pursuant to his employment agreement, Mr. Yunker was granted an award of 60,800 Company RSUs which 50% vested on the six-month anniversary of Mr. Yunker’s employment start date and 50% vest on the one-year anniversary of his start date. In May 2019, Mr. Yunker was also granted time-based RSUs having an aggregate grant date fair value of $750,000 and performance-based RSUs having an aggregate grant date fair value of $750,000. Mr. Yunker’s time-based RSUs vest on the three-year anniversary of Mr. Yunker’s start date (May 2023). The performance-based RSU award is subject to a two-year performance period (2020 and 2021) and vests on the three-year anniversary of</w:t>
      </w:r>
    </w:p>
    <w:p>
      <w:pPr>
        <w:spacing w:after="0" w:line="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Mr. Yunker’s start date (May 2023).</w:t>
      </w:r>
    </w:p>
    <w:p>
      <w:pPr>
        <w:spacing w:after="0" w:line="211" w:lineRule="exact"/>
        <w:rPr>
          <w:sz w:val="20"/>
          <w:szCs w:val="20"/>
          <w:color w:val="auto"/>
        </w:rPr>
      </w:pPr>
    </w:p>
    <w:p>
      <w:pPr>
        <w:ind w:left="120" w:right="280" w:firstLine="440"/>
        <w:spacing w:after="0" w:line="254" w:lineRule="auto"/>
        <w:rPr>
          <w:sz w:val="20"/>
          <w:szCs w:val="20"/>
          <w:color w:val="auto"/>
        </w:rPr>
      </w:pPr>
      <w:r>
        <w:rPr>
          <w:rFonts w:ascii="Arial" w:cs="Arial" w:eastAsia="Arial" w:hAnsi="Arial"/>
          <w:sz w:val="18"/>
          <w:szCs w:val="18"/>
          <w:color w:val="auto"/>
        </w:rPr>
        <w:t>Our regular on-going equity grants consist of 50% performance-based RSUs (PSU) and 50% time-based RSUs. The PSUs awarded in January 2019 are subject to a two-year performance period (2019 and 2020), with a one-year additional vesting requirement following the end of the performance period, resulting in a total vesting period of three years from the grant date. Performance achievement over the two-year performance period is measured by averaging the level of achievement of Adjusted EBITDA attained during each of 2019 and 2020. PSUs are earned as follows: 50% of the target number of PSUs will be earned at threshold performance, 100% of the target number of PSUs will be earned at target performance, and up to 200% of the target number of PSUs will be earned at maximum performance. No award is earned if performance falls below the threshold level.</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Following the end of the two-year performance period, the vesting of earned PSUs are subject to an additional one-year service condition.</w:t>
      </w:r>
    </w:p>
    <w:p>
      <w:pPr>
        <w:spacing w:after="0" w:line="237"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We generally do not disclose forward-looking goals for our multi-year incentive programs, because the Company does not provide forward-looking guidance to our investors with respect to multi-year periods and it is competitively sensitive information. Consistent with our past and current practice, we will disclose multi-year performance goals in our regular programs in full after the close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120650</wp:posOffset>
            </wp:positionV>
            <wp:extent cx="5203190" cy="31286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0319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Performance-Based RSUs Earned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2018 PSU grant was earned based on the two-year average payout for years 2018 and 2019. The two-year average payout achievement was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110% of target, as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160020</wp:posOffset>
            </wp:positionV>
            <wp:extent cx="7003415" cy="1602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03415" cy="1602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2018</w:t>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139"/>
        </w:trPr>
        <w:tc>
          <w:tcPr>
            <w:tcW w:w="1280" w:type="dxa"/>
            <w:vAlign w:val="bottom"/>
            <w:tcBorders>
              <w:top w:val="single" w:sz="8" w:color="auto"/>
              <w:right w:val="single" w:sz="8" w:color="auto"/>
            </w:tcBorders>
            <w:vMerge w:val="restart"/>
            <w:shd w:val="clear" w:color="auto" w:fill="F7A800"/>
          </w:tcPr>
          <w:p>
            <w:pPr>
              <w:jc w:val="center"/>
              <w:ind w:left="35"/>
              <w:spacing w:after="0"/>
              <w:rPr>
                <w:sz w:val="20"/>
                <w:szCs w:val="20"/>
                <w:color w:val="auto"/>
              </w:rPr>
            </w:pPr>
            <w:r>
              <w:rPr>
                <w:rFonts w:ascii="Arial" w:cs="Arial" w:eastAsia="Arial" w:hAnsi="Arial"/>
                <w:sz w:val="14"/>
                <w:szCs w:val="14"/>
                <w:b w:val="1"/>
                <w:bCs w:val="1"/>
                <w:color w:val="auto"/>
                <w:w w:val="93"/>
              </w:rPr>
              <w:t>Performance</w:t>
            </w: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1760" w:type="dxa"/>
            <w:vAlign w:val="bottom"/>
            <w:tcBorders>
              <w:top w:val="single" w:sz="8" w:color="auto"/>
              <w:right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176"/>
              <w:spacing w:after="0" w:line="139" w:lineRule="exact"/>
              <w:rPr>
                <w:sz w:val="20"/>
                <w:szCs w:val="20"/>
                <w:color w:val="auto"/>
              </w:rPr>
            </w:pPr>
            <w:r>
              <w:rPr>
                <w:rFonts w:ascii="Arial" w:cs="Arial" w:eastAsia="Arial" w:hAnsi="Arial"/>
                <w:sz w:val="14"/>
                <w:szCs w:val="14"/>
                <w:b w:val="1"/>
                <w:bCs w:val="1"/>
                <w:color w:val="auto"/>
                <w:w w:val="95"/>
              </w:rPr>
              <w:t>Corporate</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Borders>
              <w:right w:val="single" w:sz="8" w:color="auto"/>
            </w:tcBorders>
            <w:vMerge w:val="continue"/>
            <w:shd w:val="clear" w:color="auto" w:fill="F7A800"/>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17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3"/>
              </w:rPr>
              <w:t>Adjusted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80" w:type="dxa"/>
            <w:vAlign w:val="bottom"/>
            <w:tcBorders>
              <w:bottom w:val="single" w:sz="8" w:color="auto"/>
              <w:right w:val="single" w:sz="8" w:color="auto"/>
            </w:tcBorders>
            <w:shd w:val="clear" w:color="auto" w:fill="F7A800"/>
          </w:tcPr>
          <w:p>
            <w:pPr>
              <w:jc w:val="center"/>
              <w:ind w:left="55"/>
              <w:spacing w:after="0"/>
              <w:rPr>
                <w:sz w:val="20"/>
                <w:szCs w:val="20"/>
                <w:color w:val="auto"/>
              </w:rPr>
            </w:pPr>
            <w:r>
              <w:rPr>
                <w:rFonts w:ascii="Arial" w:cs="Arial" w:eastAsia="Arial" w:hAnsi="Arial"/>
                <w:sz w:val="14"/>
                <w:szCs w:val="14"/>
                <w:b w:val="1"/>
                <w:bCs w:val="1"/>
                <w:color w:val="auto"/>
                <w:w w:val="94"/>
              </w:rPr>
              <w:t>Level</w:t>
            </w: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Requirement</w:t>
            </w:r>
          </w:p>
        </w:tc>
        <w:tc>
          <w:tcPr>
            <w:tcW w:w="176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Performance Payout</w:t>
            </w: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EBITDA(‘000’s)</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280" w:type="dxa"/>
            <w:vAlign w:val="bottom"/>
            <w:tcBorders>
              <w:right w:val="single" w:sz="8" w:color="auto"/>
            </w:tcBorders>
            <w:shd w:val="clear" w:color="auto" w:fill="F7A800"/>
          </w:tcPr>
          <w:p>
            <w:pPr>
              <w:spacing w:after="0"/>
              <w:rPr>
                <w:sz w:val="16"/>
                <w:szCs w:val="16"/>
                <w:color w:val="auto"/>
              </w:rPr>
            </w:pPr>
          </w:p>
        </w:tc>
        <w:tc>
          <w:tcPr>
            <w:tcW w:w="80" w:type="dxa"/>
            <w:vAlign w:val="bottom"/>
            <w:shd w:val="clear" w:color="auto" w:fill="F7A800"/>
          </w:tcPr>
          <w:p>
            <w:pPr>
              <w:spacing w:after="0"/>
              <w:rPr>
                <w:sz w:val="16"/>
                <w:szCs w:val="16"/>
                <w:color w:val="auto"/>
              </w:rPr>
            </w:pPr>
          </w:p>
        </w:tc>
        <w:tc>
          <w:tcPr>
            <w:tcW w:w="1000" w:type="dxa"/>
            <w:vAlign w:val="bottom"/>
            <w:tcBorders>
              <w:right w:val="single" w:sz="8" w:color="auto"/>
            </w:tcBorders>
            <w:shd w:val="clear" w:color="auto" w:fill="F7A800"/>
          </w:tcPr>
          <w:p>
            <w:pPr>
              <w:jc w:val="center"/>
              <w:spacing w:after="0" w:line="195" w:lineRule="exact"/>
              <w:rPr>
                <w:sz w:val="20"/>
                <w:szCs w:val="20"/>
                <w:color w:val="auto"/>
              </w:rPr>
            </w:pPr>
            <w:r>
              <w:rPr>
                <w:rFonts w:ascii="Arial" w:cs="Arial" w:eastAsia="Arial" w:hAnsi="Arial"/>
                <w:sz w:val="18"/>
                <w:szCs w:val="18"/>
                <w:color w:val="auto"/>
                <w:w w:val="96"/>
              </w:rPr>
              <w:t>90% of</w:t>
            </w:r>
          </w:p>
        </w:tc>
        <w:tc>
          <w:tcPr>
            <w:tcW w:w="1760" w:type="dxa"/>
            <w:vAlign w:val="bottom"/>
            <w:tcBorders>
              <w:right w:val="single" w:sz="8" w:color="auto"/>
            </w:tcBorders>
            <w:shd w:val="clear" w:color="auto" w:fill="F7A800"/>
          </w:tcPr>
          <w:p>
            <w:pPr>
              <w:spacing w:after="0"/>
              <w:rPr>
                <w:sz w:val="16"/>
                <w:szCs w:val="16"/>
                <w:color w:val="auto"/>
              </w:rPr>
            </w:pPr>
          </w:p>
        </w:tc>
        <w:tc>
          <w:tcPr>
            <w:tcW w:w="260" w:type="dxa"/>
            <w:vAlign w:val="bottom"/>
            <w:shd w:val="clear" w:color="auto" w:fill="F7A800"/>
          </w:tcPr>
          <w:p>
            <w:pPr>
              <w:spacing w:after="0"/>
              <w:rPr>
                <w:sz w:val="16"/>
                <w:szCs w:val="16"/>
                <w:color w:val="auto"/>
              </w:rPr>
            </w:pPr>
          </w:p>
        </w:tc>
        <w:tc>
          <w:tcPr>
            <w:tcW w:w="1060" w:type="dxa"/>
            <w:vAlign w:val="bottom"/>
            <w:shd w:val="clear" w:color="auto" w:fill="F7A800"/>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280" w:type="dxa"/>
            <w:vAlign w:val="bottom"/>
            <w:tcBorders>
              <w:bottom w:val="single" w:sz="8" w:color="auto"/>
              <w:right w:val="single" w:sz="8" w:color="auto"/>
            </w:tcBorders>
            <w:shd w:val="clear" w:color="auto" w:fill="F7A800"/>
          </w:tcPr>
          <w:p>
            <w:pPr>
              <w:jc w:val="center"/>
              <w:ind w:left="35"/>
              <w:spacing w:after="0"/>
              <w:rPr>
                <w:sz w:val="20"/>
                <w:szCs w:val="20"/>
                <w:color w:val="auto"/>
              </w:rPr>
            </w:pPr>
            <w:r>
              <w:rPr>
                <w:rFonts w:ascii="Arial" w:cs="Arial" w:eastAsia="Arial" w:hAnsi="Arial"/>
                <w:sz w:val="18"/>
                <w:szCs w:val="18"/>
                <w:color w:val="auto"/>
                <w:w w:val="89"/>
              </w:rPr>
              <w:t>Threshold</w:t>
            </w:r>
          </w:p>
        </w:tc>
        <w:tc>
          <w:tcPr>
            <w:tcW w:w="80" w:type="dxa"/>
            <w:vAlign w:val="bottom"/>
            <w:tcBorders>
              <w:bottom w:val="single" w:sz="8" w:color="auto"/>
            </w:tcBorders>
            <w:shd w:val="clear" w:color="auto" w:fill="F7A800"/>
          </w:tcPr>
          <w:p>
            <w:pPr>
              <w:spacing w:after="0"/>
              <w:rPr>
                <w:sz w:val="21"/>
                <w:szCs w:val="21"/>
                <w:color w:val="auto"/>
              </w:rPr>
            </w:pPr>
          </w:p>
        </w:tc>
        <w:tc>
          <w:tcPr>
            <w:tcW w:w="100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89"/>
              </w:rPr>
              <w:t>target goal</w:t>
            </w:r>
          </w:p>
        </w:tc>
        <w:tc>
          <w:tcPr>
            <w:tcW w:w="176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88"/>
              </w:rPr>
              <w:t>50%</w:t>
            </w:r>
          </w:p>
        </w:tc>
        <w:tc>
          <w:tcPr>
            <w:tcW w:w="260" w:type="dxa"/>
            <w:vAlign w:val="bottom"/>
            <w:tcBorders>
              <w:bottom w:val="single" w:sz="8" w:color="auto"/>
            </w:tcBorders>
            <w:shd w:val="clear" w:color="auto" w:fill="F7A800"/>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F7A800"/>
          </w:tcPr>
          <w:p>
            <w:pPr>
              <w:jc w:val="right"/>
              <w:ind w:right="16"/>
              <w:spacing w:after="0"/>
              <w:rPr>
                <w:sz w:val="20"/>
                <w:szCs w:val="20"/>
                <w:color w:val="auto"/>
              </w:rPr>
            </w:pPr>
            <w:r>
              <w:rPr>
                <w:rFonts w:ascii="Arial" w:cs="Arial" w:eastAsia="Arial" w:hAnsi="Arial"/>
                <w:sz w:val="18"/>
                <w:szCs w:val="18"/>
                <w:color w:val="auto"/>
              </w:rPr>
              <w:t>380,266</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280" w:type="dxa"/>
            <w:vAlign w:val="bottom"/>
            <w:tcBorders>
              <w:right w:val="single" w:sz="8" w:color="auto"/>
            </w:tcBorders>
            <w:shd w:val="clear" w:color="auto" w:fill="F7A800"/>
          </w:tcPr>
          <w:p>
            <w:pPr>
              <w:spacing w:after="0"/>
              <w:rPr>
                <w:sz w:val="16"/>
                <w:szCs w:val="16"/>
                <w:color w:val="auto"/>
              </w:rPr>
            </w:pPr>
          </w:p>
        </w:tc>
        <w:tc>
          <w:tcPr>
            <w:tcW w:w="80" w:type="dxa"/>
            <w:vAlign w:val="bottom"/>
            <w:shd w:val="clear" w:color="auto" w:fill="F7A800"/>
          </w:tcPr>
          <w:p>
            <w:pPr>
              <w:spacing w:after="0"/>
              <w:rPr>
                <w:sz w:val="16"/>
                <w:szCs w:val="16"/>
                <w:color w:val="auto"/>
              </w:rPr>
            </w:pPr>
          </w:p>
        </w:tc>
        <w:tc>
          <w:tcPr>
            <w:tcW w:w="1000" w:type="dxa"/>
            <w:vAlign w:val="bottom"/>
            <w:tcBorders>
              <w:right w:val="single" w:sz="8" w:color="auto"/>
            </w:tcBorders>
            <w:shd w:val="clear" w:color="auto" w:fill="F7A800"/>
          </w:tcPr>
          <w:p>
            <w:pPr>
              <w:jc w:val="center"/>
              <w:spacing w:after="0" w:line="195" w:lineRule="exact"/>
              <w:rPr>
                <w:sz w:val="20"/>
                <w:szCs w:val="20"/>
                <w:color w:val="auto"/>
              </w:rPr>
            </w:pPr>
            <w:r>
              <w:rPr>
                <w:rFonts w:ascii="Arial" w:cs="Arial" w:eastAsia="Arial" w:hAnsi="Arial"/>
                <w:sz w:val="18"/>
                <w:szCs w:val="18"/>
                <w:color w:val="auto"/>
                <w:w w:val="93"/>
              </w:rPr>
              <w:t>100% of</w:t>
            </w:r>
          </w:p>
        </w:tc>
        <w:tc>
          <w:tcPr>
            <w:tcW w:w="1760" w:type="dxa"/>
            <w:vAlign w:val="bottom"/>
            <w:tcBorders>
              <w:right w:val="single" w:sz="8" w:color="auto"/>
            </w:tcBorders>
            <w:shd w:val="clear" w:color="auto" w:fill="F7A800"/>
          </w:tcPr>
          <w:p>
            <w:pPr>
              <w:spacing w:after="0"/>
              <w:rPr>
                <w:sz w:val="16"/>
                <w:szCs w:val="16"/>
                <w:color w:val="auto"/>
              </w:rPr>
            </w:pPr>
          </w:p>
        </w:tc>
        <w:tc>
          <w:tcPr>
            <w:tcW w:w="260" w:type="dxa"/>
            <w:vAlign w:val="bottom"/>
            <w:shd w:val="clear" w:color="auto" w:fill="F7A800"/>
          </w:tcPr>
          <w:p>
            <w:pPr>
              <w:spacing w:after="0"/>
              <w:rPr>
                <w:sz w:val="16"/>
                <w:szCs w:val="16"/>
                <w:color w:val="auto"/>
              </w:rPr>
            </w:pPr>
          </w:p>
        </w:tc>
        <w:tc>
          <w:tcPr>
            <w:tcW w:w="1060" w:type="dxa"/>
            <w:vAlign w:val="bottom"/>
            <w:shd w:val="clear" w:color="auto" w:fill="F7A800"/>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right w:val="single" w:sz="8" w:color="auto"/>
            </w:tcBorders>
            <w:shd w:val="clear" w:color="auto" w:fill="F7A800"/>
          </w:tcPr>
          <w:p>
            <w:pPr>
              <w:jc w:val="center"/>
              <w:ind w:left="35"/>
              <w:spacing w:after="0"/>
              <w:rPr>
                <w:sz w:val="20"/>
                <w:szCs w:val="20"/>
                <w:color w:val="auto"/>
              </w:rPr>
            </w:pPr>
            <w:r>
              <w:rPr>
                <w:rFonts w:ascii="Arial" w:cs="Arial" w:eastAsia="Arial" w:hAnsi="Arial"/>
                <w:sz w:val="18"/>
                <w:szCs w:val="18"/>
                <w:color w:val="auto"/>
                <w:w w:val="84"/>
              </w:rPr>
              <w:t>Target</w:t>
            </w:r>
          </w:p>
        </w:tc>
        <w:tc>
          <w:tcPr>
            <w:tcW w:w="80" w:type="dxa"/>
            <w:vAlign w:val="bottom"/>
            <w:tcBorders>
              <w:bottom w:val="single" w:sz="8" w:color="auto"/>
            </w:tcBorders>
            <w:shd w:val="clear" w:color="auto" w:fill="F7A800"/>
          </w:tcPr>
          <w:p>
            <w:pPr>
              <w:spacing w:after="0"/>
              <w:rPr>
                <w:sz w:val="20"/>
                <w:szCs w:val="20"/>
                <w:color w:val="auto"/>
              </w:rPr>
            </w:pPr>
          </w:p>
        </w:tc>
        <w:tc>
          <w:tcPr>
            <w:tcW w:w="100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89"/>
              </w:rPr>
              <w:t>target goal</w:t>
            </w:r>
          </w:p>
        </w:tc>
        <w:tc>
          <w:tcPr>
            <w:tcW w:w="176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91"/>
              </w:rPr>
              <w:t>100%</w:t>
            </w:r>
          </w:p>
        </w:tc>
        <w:tc>
          <w:tcPr>
            <w:tcW w:w="260" w:type="dxa"/>
            <w:vAlign w:val="bottom"/>
            <w:tcBorders>
              <w:bottom w:val="single" w:sz="8" w:color="auto"/>
            </w:tcBorders>
            <w:shd w:val="clear" w:color="auto" w:fill="F7A800"/>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F7A800"/>
          </w:tcPr>
          <w:p>
            <w:pPr>
              <w:jc w:val="right"/>
              <w:ind w:right="16"/>
              <w:spacing w:after="0"/>
              <w:rPr>
                <w:sz w:val="20"/>
                <w:szCs w:val="20"/>
                <w:color w:val="auto"/>
              </w:rPr>
            </w:pPr>
            <w:r>
              <w:rPr>
                <w:rFonts w:ascii="Arial" w:cs="Arial" w:eastAsia="Arial" w:hAnsi="Arial"/>
                <w:sz w:val="18"/>
                <w:szCs w:val="18"/>
                <w:color w:val="auto"/>
              </w:rPr>
              <w:t>422,518</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280" w:type="dxa"/>
            <w:vAlign w:val="bottom"/>
            <w:tcBorders>
              <w:right w:val="single" w:sz="8" w:color="auto"/>
            </w:tcBorders>
            <w:shd w:val="clear" w:color="auto" w:fill="F7A800"/>
          </w:tcPr>
          <w:p>
            <w:pPr>
              <w:spacing w:after="0"/>
              <w:rPr>
                <w:sz w:val="16"/>
                <w:szCs w:val="16"/>
                <w:color w:val="auto"/>
              </w:rPr>
            </w:pPr>
          </w:p>
        </w:tc>
        <w:tc>
          <w:tcPr>
            <w:tcW w:w="80" w:type="dxa"/>
            <w:vAlign w:val="bottom"/>
            <w:shd w:val="clear" w:color="auto" w:fill="F7A800"/>
          </w:tcPr>
          <w:p>
            <w:pPr>
              <w:spacing w:after="0"/>
              <w:rPr>
                <w:sz w:val="16"/>
                <w:szCs w:val="16"/>
                <w:color w:val="auto"/>
              </w:rPr>
            </w:pPr>
          </w:p>
        </w:tc>
        <w:tc>
          <w:tcPr>
            <w:tcW w:w="1000" w:type="dxa"/>
            <w:vAlign w:val="bottom"/>
            <w:tcBorders>
              <w:right w:val="single" w:sz="8" w:color="auto"/>
            </w:tcBorders>
            <w:shd w:val="clear" w:color="auto" w:fill="F7A800"/>
          </w:tcPr>
          <w:p>
            <w:pPr>
              <w:jc w:val="center"/>
              <w:spacing w:after="0" w:line="195" w:lineRule="exact"/>
              <w:rPr>
                <w:sz w:val="20"/>
                <w:szCs w:val="20"/>
                <w:color w:val="auto"/>
              </w:rPr>
            </w:pPr>
            <w:r>
              <w:rPr>
                <w:rFonts w:ascii="Arial" w:cs="Arial" w:eastAsia="Arial" w:hAnsi="Arial"/>
                <w:sz w:val="18"/>
                <w:szCs w:val="18"/>
                <w:color w:val="auto"/>
                <w:w w:val="93"/>
              </w:rPr>
              <w:t>120% of</w:t>
            </w:r>
          </w:p>
        </w:tc>
        <w:tc>
          <w:tcPr>
            <w:tcW w:w="1760" w:type="dxa"/>
            <w:vAlign w:val="bottom"/>
            <w:tcBorders>
              <w:right w:val="single" w:sz="8" w:color="auto"/>
            </w:tcBorders>
            <w:shd w:val="clear" w:color="auto" w:fill="F7A800"/>
          </w:tcPr>
          <w:p>
            <w:pPr>
              <w:spacing w:after="0"/>
              <w:rPr>
                <w:sz w:val="16"/>
                <w:szCs w:val="16"/>
                <w:color w:val="auto"/>
              </w:rPr>
            </w:pPr>
          </w:p>
        </w:tc>
        <w:tc>
          <w:tcPr>
            <w:tcW w:w="260" w:type="dxa"/>
            <w:vAlign w:val="bottom"/>
            <w:shd w:val="clear" w:color="auto" w:fill="F7A800"/>
          </w:tcPr>
          <w:p>
            <w:pPr>
              <w:spacing w:after="0"/>
              <w:rPr>
                <w:sz w:val="16"/>
                <w:szCs w:val="16"/>
                <w:color w:val="auto"/>
              </w:rPr>
            </w:pPr>
          </w:p>
        </w:tc>
        <w:tc>
          <w:tcPr>
            <w:tcW w:w="1060" w:type="dxa"/>
            <w:vAlign w:val="bottom"/>
            <w:shd w:val="clear" w:color="auto" w:fill="F7A800"/>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right w:val="single" w:sz="8" w:color="auto"/>
            </w:tcBorders>
            <w:shd w:val="clear" w:color="auto" w:fill="F7A800"/>
          </w:tcPr>
          <w:p>
            <w:pPr>
              <w:jc w:val="center"/>
              <w:ind w:left="35"/>
              <w:spacing w:after="0"/>
              <w:rPr>
                <w:sz w:val="20"/>
                <w:szCs w:val="20"/>
                <w:color w:val="auto"/>
              </w:rPr>
            </w:pPr>
            <w:r>
              <w:rPr>
                <w:rFonts w:ascii="Arial" w:cs="Arial" w:eastAsia="Arial" w:hAnsi="Arial"/>
                <w:sz w:val="18"/>
                <w:szCs w:val="18"/>
                <w:color w:val="auto"/>
                <w:w w:val="97"/>
              </w:rPr>
              <w:t>Maximum</w:t>
            </w:r>
          </w:p>
        </w:tc>
        <w:tc>
          <w:tcPr>
            <w:tcW w:w="80" w:type="dxa"/>
            <w:vAlign w:val="bottom"/>
            <w:tcBorders>
              <w:bottom w:val="single" w:sz="8" w:color="auto"/>
            </w:tcBorders>
            <w:shd w:val="clear" w:color="auto" w:fill="F7A800"/>
          </w:tcPr>
          <w:p>
            <w:pPr>
              <w:spacing w:after="0"/>
              <w:rPr>
                <w:sz w:val="20"/>
                <w:szCs w:val="20"/>
                <w:color w:val="auto"/>
              </w:rPr>
            </w:pPr>
          </w:p>
        </w:tc>
        <w:tc>
          <w:tcPr>
            <w:tcW w:w="100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89"/>
              </w:rPr>
              <w:t>target goal</w:t>
            </w:r>
          </w:p>
        </w:tc>
        <w:tc>
          <w:tcPr>
            <w:tcW w:w="176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91"/>
              </w:rPr>
              <w:t>200%</w:t>
            </w:r>
          </w:p>
        </w:tc>
        <w:tc>
          <w:tcPr>
            <w:tcW w:w="260" w:type="dxa"/>
            <w:vAlign w:val="bottom"/>
            <w:tcBorders>
              <w:bottom w:val="single" w:sz="8" w:color="auto"/>
            </w:tcBorders>
            <w:shd w:val="clear" w:color="auto" w:fill="F7A800"/>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F7A800"/>
          </w:tcPr>
          <w:p>
            <w:pPr>
              <w:jc w:val="right"/>
              <w:ind w:right="16"/>
              <w:spacing w:after="0"/>
              <w:rPr>
                <w:sz w:val="20"/>
                <w:szCs w:val="20"/>
                <w:color w:val="auto"/>
              </w:rPr>
            </w:pPr>
            <w:r>
              <w:rPr>
                <w:rFonts w:ascii="Arial" w:cs="Arial" w:eastAsia="Arial" w:hAnsi="Arial"/>
                <w:sz w:val="18"/>
                <w:szCs w:val="18"/>
                <w:color w:val="auto"/>
              </w:rPr>
              <w:t>507,022</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280" w:type="dxa"/>
            <w:vAlign w:val="bottom"/>
            <w:tcBorders>
              <w:right w:val="single" w:sz="8" w:color="auto"/>
            </w:tcBorders>
            <w:shd w:val="clear" w:color="auto" w:fill="FBD37F"/>
          </w:tcPr>
          <w:p>
            <w:pPr>
              <w:jc w:val="center"/>
              <w:ind w:left="35"/>
              <w:spacing w:after="0" w:line="195" w:lineRule="exact"/>
              <w:rPr>
                <w:sz w:val="20"/>
                <w:szCs w:val="20"/>
                <w:color w:val="auto"/>
              </w:rPr>
            </w:pPr>
            <w:r>
              <w:rPr>
                <w:rFonts w:ascii="Arial" w:cs="Arial" w:eastAsia="Arial" w:hAnsi="Arial"/>
                <w:sz w:val="18"/>
                <w:szCs w:val="18"/>
                <w:color w:val="auto"/>
                <w:w w:val="94"/>
              </w:rPr>
              <w:t>Actual for</w:t>
            </w:r>
          </w:p>
        </w:tc>
        <w:tc>
          <w:tcPr>
            <w:tcW w:w="80" w:type="dxa"/>
            <w:vAlign w:val="bottom"/>
            <w:shd w:val="clear" w:color="auto" w:fill="FBD37F"/>
          </w:tcPr>
          <w:p>
            <w:pPr>
              <w:spacing w:after="0"/>
              <w:rPr>
                <w:sz w:val="16"/>
                <w:szCs w:val="16"/>
                <w:color w:val="auto"/>
              </w:rPr>
            </w:pPr>
          </w:p>
        </w:tc>
        <w:tc>
          <w:tcPr>
            <w:tcW w:w="1000" w:type="dxa"/>
            <w:vAlign w:val="bottom"/>
            <w:tcBorders>
              <w:right w:val="single" w:sz="8" w:color="auto"/>
            </w:tcBorders>
            <w:shd w:val="clear" w:color="auto" w:fill="FBD37F"/>
          </w:tcPr>
          <w:p>
            <w:pPr>
              <w:jc w:val="center"/>
              <w:spacing w:after="0" w:line="195" w:lineRule="exact"/>
              <w:rPr>
                <w:sz w:val="20"/>
                <w:szCs w:val="20"/>
                <w:color w:val="auto"/>
              </w:rPr>
            </w:pPr>
            <w:r>
              <w:rPr>
                <w:rFonts w:ascii="Arial" w:cs="Arial" w:eastAsia="Arial" w:hAnsi="Arial"/>
                <w:sz w:val="18"/>
                <w:szCs w:val="18"/>
                <w:color w:val="auto"/>
                <w:w w:val="91"/>
              </w:rPr>
              <w:t>107.5% of</w:t>
            </w:r>
          </w:p>
        </w:tc>
        <w:tc>
          <w:tcPr>
            <w:tcW w:w="1760" w:type="dxa"/>
            <w:vAlign w:val="bottom"/>
            <w:tcBorders>
              <w:right w:val="single" w:sz="8" w:color="auto"/>
            </w:tcBorders>
            <w:shd w:val="clear" w:color="auto" w:fill="FBD37F"/>
          </w:tcPr>
          <w:p>
            <w:pPr>
              <w:spacing w:after="0"/>
              <w:rPr>
                <w:sz w:val="16"/>
                <w:szCs w:val="16"/>
                <w:color w:val="auto"/>
              </w:rPr>
            </w:pPr>
          </w:p>
        </w:tc>
        <w:tc>
          <w:tcPr>
            <w:tcW w:w="260" w:type="dxa"/>
            <w:vAlign w:val="bottom"/>
            <w:shd w:val="clear" w:color="auto" w:fill="FBD37F"/>
          </w:tcPr>
          <w:p>
            <w:pPr>
              <w:spacing w:after="0"/>
              <w:rPr>
                <w:sz w:val="16"/>
                <w:szCs w:val="16"/>
                <w:color w:val="auto"/>
              </w:rPr>
            </w:pPr>
          </w:p>
        </w:tc>
        <w:tc>
          <w:tcPr>
            <w:tcW w:w="1060" w:type="dxa"/>
            <w:vAlign w:val="bottom"/>
            <w:shd w:val="clear" w:color="auto" w:fill="FBD37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280" w:type="dxa"/>
            <w:vAlign w:val="bottom"/>
            <w:tcBorders>
              <w:bottom w:val="single" w:sz="8" w:color="auto"/>
              <w:right w:val="single" w:sz="8" w:color="auto"/>
            </w:tcBorders>
            <w:shd w:val="clear" w:color="auto" w:fill="FBD37F"/>
          </w:tcPr>
          <w:p>
            <w:pPr>
              <w:jc w:val="center"/>
              <w:ind w:left="35"/>
              <w:spacing w:after="0"/>
              <w:rPr>
                <w:sz w:val="20"/>
                <w:szCs w:val="20"/>
                <w:color w:val="auto"/>
              </w:rPr>
            </w:pPr>
            <w:r>
              <w:rPr>
                <w:rFonts w:ascii="Arial" w:cs="Arial" w:eastAsia="Arial" w:hAnsi="Arial"/>
                <w:sz w:val="18"/>
                <w:szCs w:val="18"/>
                <w:color w:val="auto"/>
                <w:w w:val="89"/>
              </w:rPr>
              <w:t>2018</w:t>
            </w:r>
          </w:p>
        </w:tc>
        <w:tc>
          <w:tcPr>
            <w:tcW w:w="80" w:type="dxa"/>
            <w:vAlign w:val="bottom"/>
            <w:tcBorders>
              <w:bottom w:val="single" w:sz="8" w:color="auto"/>
            </w:tcBorders>
            <w:shd w:val="clear" w:color="auto" w:fill="FBD37F"/>
          </w:tcPr>
          <w:p>
            <w:pPr>
              <w:spacing w:after="0"/>
              <w:rPr>
                <w:sz w:val="21"/>
                <w:szCs w:val="21"/>
                <w:color w:val="auto"/>
              </w:rPr>
            </w:pPr>
          </w:p>
        </w:tc>
        <w:tc>
          <w:tcPr>
            <w:tcW w:w="1000" w:type="dxa"/>
            <w:vAlign w:val="bottom"/>
            <w:tcBorders>
              <w:bottom w:val="single" w:sz="8" w:color="auto"/>
              <w:right w:val="single" w:sz="8" w:color="auto"/>
            </w:tcBorders>
            <w:shd w:val="clear" w:color="auto" w:fill="FBD37F"/>
          </w:tcPr>
          <w:p>
            <w:pPr>
              <w:jc w:val="center"/>
              <w:spacing w:after="0"/>
              <w:rPr>
                <w:sz w:val="20"/>
                <w:szCs w:val="20"/>
                <w:color w:val="auto"/>
              </w:rPr>
            </w:pPr>
            <w:r>
              <w:rPr>
                <w:rFonts w:ascii="Arial" w:cs="Arial" w:eastAsia="Arial" w:hAnsi="Arial"/>
                <w:sz w:val="18"/>
                <w:szCs w:val="18"/>
                <w:color w:val="auto"/>
                <w:w w:val="89"/>
              </w:rPr>
              <w:t>target goal</w:t>
            </w:r>
          </w:p>
        </w:tc>
        <w:tc>
          <w:tcPr>
            <w:tcW w:w="1760" w:type="dxa"/>
            <w:vAlign w:val="bottom"/>
            <w:tcBorders>
              <w:bottom w:val="single" w:sz="8" w:color="auto"/>
              <w:right w:val="single" w:sz="8" w:color="auto"/>
            </w:tcBorders>
            <w:shd w:val="clear" w:color="auto" w:fill="FBD37F"/>
          </w:tcPr>
          <w:p>
            <w:pPr>
              <w:jc w:val="center"/>
              <w:spacing w:after="0"/>
              <w:rPr>
                <w:sz w:val="20"/>
                <w:szCs w:val="20"/>
                <w:color w:val="auto"/>
              </w:rPr>
            </w:pPr>
            <w:r>
              <w:rPr>
                <w:rFonts w:ascii="Arial" w:cs="Arial" w:eastAsia="Arial" w:hAnsi="Arial"/>
                <w:sz w:val="18"/>
                <w:szCs w:val="18"/>
                <w:color w:val="auto"/>
                <w:w w:val="91"/>
              </w:rPr>
              <w:t>137.5%</w:t>
            </w:r>
          </w:p>
        </w:tc>
        <w:tc>
          <w:tcPr>
            <w:tcW w:w="260" w:type="dxa"/>
            <w:vAlign w:val="bottom"/>
            <w:tcBorders>
              <w:bottom w:val="single" w:sz="8" w:color="auto"/>
            </w:tcBorders>
            <w:shd w:val="clear" w:color="auto" w:fill="FBD37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FBD37F"/>
          </w:tcPr>
          <w:p>
            <w:pPr>
              <w:jc w:val="right"/>
              <w:ind w:right="16"/>
              <w:spacing w:after="0"/>
              <w:rPr>
                <w:sz w:val="20"/>
                <w:szCs w:val="20"/>
                <w:color w:val="auto"/>
              </w:rPr>
            </w:pPr>
            <w:r>
              <w:rPr>
                <w:rFonts w:ascii="Arial" w:cs="Arial" w:eastAsia="Arial" w:hAnsi="Arial"/>
                <w:sz w:val="18"/>
                <w:szCs w:val="18"/>
                <w:color w:val="auto"/>
              </w:rPr>
              <w:t>454,331</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2019</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right w:val="single" w:sz="8" w:color="auto"/>
            </w:tcBorders>
            <w:vMerge w:val="restart"/>
            <w:shd w:val="clear" w:color="auto" w:fill="F7A800"/>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80" w:type="dxa"/>
            <w:vAlign w:val="bottom"/>
            <w:tcBorders>
              <w:top w:val="single" w:sz="8" w:color="auto"/>
            </w:tcBorders>
            <w:shd w:val="clear" w:color="auto" w:fill="F7A800"/>
          </w:tcPr>
          <w:p>
            <w:pPr>
              <w:spacing w:after="0"/>
              <w:rPr>
                <w:sz w:val="12"/>
                <w:szCs w:val="12"/>
                <w:color w:val="auto"/>
              </w:rPr>
            </w:pPr>
          </w:p>
        </w:tc>
        <w:tc>
          <w:tcPr>
            <w:tcW w:w="1000" w:type="dxa"/>
            <w:vAlign w:val="bottom"/>
            <w:tcBorders>
              <w:top w:val="single" w:sz="8" w:color="auto"/>
              <w:right w:val="single" w:sz="8" w:color="auto"/>
            </w:tcBorders>
            <w:vMerge w:val="restart"/>
            <w:shd w:val="clear" w:color="auto" w:fill="F7A800"/>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1760" w:type="dxa"/>
            <w:vAlign w:val="bottom"/>
            <w:tcBorders>
              <w:top w:val="single" w:sz="8" w:color="auto"/>
              <w:right w:val="single" w:sz="8" w:color="auto"/>
            </w:tcBorders>
            <w:shd w:val="clear" w:color="auto" w:fill="F7A800"/>
          </w:tcPr>
          <w:p>
            <w:pPr>
              <w:spacing w:after="0"/>
              <w:rPr>
                <w:sz w:val="12"/>
                <w:szCs w:val="12"/>
                <w:color w:val="auto"/>
              </w:rPr>
            </w:pPr>
          </w:p>
        </w:tc>
        <w:tc>
          <w:tcPr>
            <w:tcW w:w="260" w:type="dxa"/>
            <w:vAlign w:val="bottom"/>
            <w:tcBorders>
              <w:top w:val="single" w:sz="8" w:color="auto"/>
            </w:tcBorders>
            <w:shd w:val="clear" w:color="auto" w:fill="F7A800"/>
          </w:tcPr>
          <w:p>
            <w:pPr>
              <w:spacing w:after="0"/>
              <w:rPr>
                <w:sz w:val="12"/>
                <w:szCs w:val="12"/>
                <w:color w:val="auto"/>
              </w:rPr>
            </w:pPr>
          </w:p>
        </w:tc>
        <w:tc>
          <w:tcPr>
            <w:tcW w:w="1120" w:type="dxa"/>
            <w:vAlign w:val="bottom"/>
            <w:tcBorders>
              <w:top w:val="single" w:sz="8" w:color="auto"/>
            </w:tcBorders>
            <w:shd w:val="clear" w:color="auto" w:fill="F7A800"/>
          </w:tcPr>
          <w:p>
            <w:pPr>
              <w:jc w:val="center"/>
              <w:ind w:right="196"/>
              <w:spacing w:after="0" w:line="13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940" w:type="dxa"/>
            <w:vAlign w:val="bottom"/>
            <w:tcBorders>
              <w:right w:val="single" w:sz="8" w:color="auto"/>
            </w:tcBorders>
            <w:vMerge w:val="continue"/>
            <w:shd w:val="clear" w:color="auto" w:fill="F7A800"/>
          </w:tcPr>
          <w:p>
            <w:pPr>
              <w:spacing w:after="0"/>
              <w:rPr>
                <w:sz w:val="12"/>
                <w:szCs w:val="12"/>
                <w:color w:val="auto"/>
              </w:rPr>
            </w:pPr>
          </w:p>
        </w:tc>
        <w:tc>
          <w:tcPr>
            <w:tcW w:w="80" w:type="dxa"/>
            <w:vAlign w:val="bottom"/>
            <w:shd w:val="clear" w:color="auto" w:fill="F7A800"/>
          </w:tcPr>
          <w:p>
            <w:pPr>
              <w:spacing w:after="0"/>
              <w:rPr>
                <w:sz w:val="12"/>
                <w:szCs w:val="12"/>
                <w:color w:val="auto"/>
              </w:rPr>
            </w:pPr>
          </w:p>
        </w:tc>
        <w:tc>
          <w:tcPr>
            <w:tcW w:w="1000" w:type="dxa"/>
            <w:vAlign w:val="bottom"/>
            <w:tcBorders>
              <w:right w:val="single" w:sz="8" w:color="auto"/>
            </w:tcBorders>
            <w:vMerge w:val="continue"/>
            <w:shd w:val="clear" w:color="auto" w:fill="F7A800"/>
          </w:tcPr>
          <w:p>
            <w:pPr>
              <w:spacing w:after="0"/>
              <w:rPr>
                <w:sz w:val="12"/>
                <w:szCs w:val="12"/>
                <w:color w:val="auto"/>
              </w:rPr>
            </w:pPr>
          </w:p>
        </w:tc>
        <w:tc>
          <w:tcPr>
            <w:tcW w:w="1760" w:type="dxa"/>
            <w:vAlign w:val="bottom"/>
            <w:tcBorders>
              <w:right w:val="single" w:sz="8" w:color="auto"/>
            </w:tcBorders>
            <w:shd w:val="clear" w:color="auto" w:fill="F7A800"/>
          </w:tcPr>
          <w:p>
            <w:pPr>
              <w:spacing w:after="0"/>
              <w:rPr>
                <w:sz w:val="12"/>
                <w:szCs w:val="12"/>
                <w:color w:val="auto"/>
              </w:rPr>
            </w:pPr>
          </w:p>
        </w:tc>
        <w:tc>
          <w:tcPr>
            <w:tcW w:w="260" w:type="dxa"/>
            <w:vAlign w:val="bottom"/>
            <w:shd w:val="clear" w:color="auto" w:fill="F7A800"/>
          </w:tcPr>
          <w:p>
            <w:pPr>
              <w:spacing w:after="0"/>
              <w:rPr>
                <w:sz w:val="12"/>
                <w:szCs w:val="12"/>
                <w:color w:val="auto"/>
              </w:rPr>
            </w:pPr>
          </w:p>
        </w:tc>
        <w:tc>
          <w:tcPr>
            <w:tcW w:w="1120" w:type="dxa"/>
            <w:vAlign w:val="bottom"/>
            <w:shd w:val="clear" w:color="auto" w:fill="F7A800"/>
          </w:tcPr>
          <w:p>
            <w:pPr>
              <w:jc w:val="center"/>
              <w:ind w:right="196"/>
              <w:spacing w:after="0" w:line="149" w:lineRule="exact"/>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85"/>
        </w:trPr>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4"/>
                <w:szCs w:val="14"/>
                <w:b w:val="1"/>
                <w:bCs w:val="1"/>
                <w:color w:val="auto"/>
                <w:w w:val="94"/>
              </w:rPr>
              <w:t>Level</w:t>
            </w:r>
          </w:p>
        </w:tc>
        <w:tc>
          <w:tcPr>
            <w:tcW w:w="80" w:type="dxa"/>
            <w:vAlign w:val="bottom"/>
            <w:tcBorders>
              <w:bottom w:val="single" w:sz="8" w:color="auto"/>
            </w:tcBorders>
            <w:shd w:val="clear" w:color="auto" w:fill="F7A800"/>
          </w:tcPr>
          <w:p>
            <w:pPr>
              <w:spacing w:after="0"/>
              <w:rPr>
                <w:sz w:val="16"/>
                <w:szCs w:val="16"/>
                <w:color w:val="auto"/>
              </w:rPr>
            </w:pPr>
          </w:p>
        </w:tc>
        <w:tc>
          <w:tcPr>
            <w:tcW w:w="100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4"/>
                <w:szCs w:val="14"/>
                <w:b w:val="1"/>
                <w:bCs w:val="1"/>
                <w:color w:val="auto"/>
                <w:w w:val="93"/>
              </w:rPr>
              <w:t>Requirement</w:t>
            </w:r>
          </w:p>
        </w:tc>
        <w:tc>
          <w:tcPr>
            <w:tcW w:w="1760" w:type="dxa"/>
            <w:vAlign w:val="bottom"/>
            <w:tcBorders>
              <w:bottom w:val="single" w:sz="8" w:color="auto"/>
              <w:right w:val="single" w:sz="8" w:color="auto"/>
            </w:tcBorders>
            <w:shd w:val="clear" w:color="auto" w:fill="F7A800"/>
          </w:tcPr>
          <w:p>
            <w:pPr>
              <w:ind w:left="280"/>
              <w:spacing w:after="0"/>
              <w:rPr>
                <w:sz w:val="20"/>
                <w:szCs w:val="20"/>
                <w:color w:val="auto"/>
              </w:rPr>
            </w:pPr>
            <w:r>
              <w:rPr>
                <w:rFonts w:ascii="Arial" w:cs="Arial" w:eastAsia="Arial" w:hAnsi="Arial"/>
                <w:sz w:val="14"/>
                <w:szCs w:val="14"/>
                <w:b w:val="1"/>
                <w:bCs w:val="1"/>
                <w:color w:val="auto"/>
              </w:rPr>
              <w:t>Performance Payout</w:t>
            </w:r>
          </w:p>
        </w:tc>
        <w:tc>
          <w:tcPr>
            <w:tcW w:w="1380" w:type="dxa"/>
            <w:vAlign w:val="bottom"/>
            <w:tcBorders>
              <w:bottom w:val="single" w:sz="8" w:color="auto"/>
            </w:tcBorders>
            <w:gridSpan w:val="2"/>
            <w:shd w:val="clear" w:color="auto" w:fill="F7A800"/>
          </w:tcPr>
          <w:p>
            <w:pPr>
              <w:jc w:val="center"/>
              <w:spacing w:after="0"/>
              <w:rPr>
                <w:sz w:val="20"/>
                <w:szCs w:val="20"/>
                <w:color w:val="auto"/>
              </w:rPr>
            </w:pPr>
            <w:r>
              <w:rPr>
                <w:rFonts w:ascii="Arial" w:cs="Arial" w:eastAsia="Arial" w:hAnsi="Arial"/>
                <w:sz w:val="14"/>
                <w:szCs w:val="14"/>
                <w:b w:val="1"/>
                <w:bCs w:val="1"/>
                <w:color w:val="auto"/>
                <w:w w:val="99"/>
              </w:rPr>
              <w:t>EBITDA(‘000’s)</w:t>
            </w: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940" w:type="dxa"/>
            <w:vAlign w:val="bottom"/>
            <w:tcBorders>
              <w:right w:val="single" w:sz="8" w:color="auto"/>
            </w:tcBorders>
            <w:shd w:val="clear" w:color="auto" w:fill="F7A800"/>
          </w:tcPr>
          <w:p>
            <w:pPr>
              <w:spacing w:after="0"/>
              <w:rPr>
                <w:sz w:val="16"/>
                <w:szCs w:val="16"/>
                <w:color w:val="auto"/>
              </w:rPr>
            </w:pPr>
          </w:p>
        </w:tc>
        <w:tc>
          <w:tcPr>
            <w:tcW w:w="80" w:type="dxa"/>
            <w:vAlign w:val="bottom"/>
            <w:shd w:val="clear" w:color="auto" w:fill="F7A800"/>
          </w:tcPr>
          <w:p>
            <w:pPr>
              <w:spacing w:after="0"/>
              <w:rPr>
                <w:sz w:val="16"/>
                <w:szCs w:val="16"/>
                <w:color w:val="auto"/>
              </w:rPr>
            </w:pPr>
          </w:p>
        </w:tc>
        <w:tc>
          <w:tcPr>
            <w:tcW w:w="1000" w:type="dxa"/>
            <w:vAlign w:val="bottom"/>
            <w:tcBorders>
              <w:right w:val="single" w:sz="8" w:color="auto"/>
            </w:tcBorders>
            <w:shd w:val="clear" w:color="auto" w:fill="F7A800"/>
          </w:tcPr>
          <w:p>
            <w:pPr>
              <w:jc w:val="center"/>
              <w:spacing w:after="0" w:line="195" w:lineRule="exact"/>
              <w:rPr>
                <w:sz w:val="20"/>
                <w:szCs w:val="20"/>
                <w:color w:val="auto"/>
              </w:rPr>
            </w:pPr>
            <w:r>
              <w:rPr>
                <w:rFonts w:ascii="Arial" w:cs="Arial" w:eastAsia="Arial" w:hAnsi="Arial"/>
                <w:sz w:val="18"/>
                <w:szCs w:val="18"/>
                <w:color w:val="auto"/>
                <w:w w:val="92"/>
              </w:rPr>
              <w:t>90% of</w:t>
            </w:r>
          </w:p>
        </w:tc>
        <w:tc>
          <w:tcPr>
            <w:tcW w:w="1760" w:type="dxa"/>
            <w:vAlign w:val="bottom"/>
            <w:tcBorders>
              <w:right w:val="single" w:sz="8" w:color="auto"/>
            </w:tcBorders>
            <w:shd w:val="clear" w:color="auto" w:fill="F7A800"/>
          </w:tcPr>
          <w:p>
            <w:pPr>
              <w:spacing w:after="0"/>
              <w:rPr>
                <w:sz w:val="16"/>
                <w:szCs w:val="16"/>
                <w:color w:val="auto"/>
              </w:rPr>
            </w:pPr>
          </w:p>
        </w:tc>
        <w:tc>
          <w:tcPr>
            <w:tcW w:w="260" w:type="dxa"/>
            <w:vAlign w:val="bottom"/>
            <w:shd w:val="clear" w:color="auto" w:fill="F7A800"/>
          </w:tcPr>
          <w:p>
            <w:pPr>
              <w:spacing w:after="0"/>
              <w:rPr>
                <w:sz w:val="16"/>
                <w:szCs w:val="16"/>
                <w:color w:val="auto"/>
              </w:rPr>
            </w:pPr>
          </w:p>
        </w:tc>
        <w:tc>
          <w:tcPr>
            <w:tcW w:w="1120" w:type="dxa"/>
            <w:vAlign w:val="bottom"/>
            <w:shd w:val="clear" w:color="auto" w:fill="F7A800"/>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92"/>
              </w:rPr>
              <w:t>Threshold</w:t>
            </w:r>
          </w:p>
        </w:tc>
        <w:tc>
          <w:tcPr>
            <w:tcW w:w="80" w:type="dxa"/>
            <w:vAlign w:val="bottom"/>
            <w:tcBorders>
              <w:bottom w:val="single" w:sz="8" w:color="auto"/>
            </w:tcBorders>
            <w:shd w:val="clear" w:color="auto" w:fill="F7A800"/>
          </w:tcPr>
          <w:p>
            <w:pPr>
              <w:spacing w:after="0"/>
              <w:rPr>
                <w:sz w:val="21"/>
                <w:szCs w:val="21"/>
                <w:color w:val="auto"/>
              </w:rPr>
            </w:pPr>
          </w:p>
        </w:tc>
        <w:tc>
          <w:tcPr>
            <w:tcW w:w="100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89"/>
              </w:rPr>
              <w:t>target goal</w:t>
            </w:r>
          </w:p>
        </w:tc>
        <w:tc>
          <w:tcPr>
            <w:tcW w:w="176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88"/>
              </w:rPr>
              <w:t>50%</w:t>
            </w:r>
          </w:p>
        </w:tc>
        <w:tc>
          <w:tcPr>
            <w:tcW w:w="260" w:type="dxa"/>
            <w:vAlign w:val="bottom"/>
            <w:tcBorders>
              <w:bottom w:val="single" w:sz="8" w:color="auto"/>
            </w:tcBorders>
            <w:shd w:val="clear" w:color="auto" w:fill="F7A800"/>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F7A800"/>
          </w:tcPr>
          <w:p>
            <w:pPr>
              <w:jc w:val="right"/>
              <w:ind w:right="36"/>
              <w:spacing w:after="0"/>
              <w:rPr>
                <w:sz w:val="20"/>
                <w:szCs w:val="20"/>
                <w:color w:val="auto"/>
              </w:rPr>
            </w:pPr>
            <w:r>
              <w:rPr>
                <w:rFonts w:ascii="Arial" w:cs="Arial" w:eastAsia="Arial" w:hAnsi="Arial"/>
                <w:sz w:val="18"/>
                <w:szCs w:val="18"/>
                <w:color w:val="auto"/>
              </w:rPr>
              <w:t>651,248</w:t>
            </w: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940" w:type="dxa"/>
            <w:vAlign w:val="bottom"/>
            <w:tcBorders>
              <w:right w:val="single" w:sz="8" w:color="auto"/>
            </w:tcBorders>
            <w:shd w:val="clear" w:color="auto" w:fill="F7A800"/>
          </w:tcPr>
          <w:p>
            <w:pPr>
              <w:spacing w:after="0"/>
              <w:rPr>
                <w:sz w:val="16"/>
                <w:szCs w:val="16"/>
                <w:color w:val="auto"/>
              </w:rPr>
            </w:pPr>
          </w:p>
        </w:tc>
        <w:tc>
          <w:tcPr>
            <w:tcW w:w="80" w:type="dxa"/>
            <w:vAlign w:val="bottom"/>
            <w:shd w:val="clear" w:color="auto" w:fill="F7A800"/>
          </w:tcPr>
          <w:p>
            <w:pPr>
              <w:spacing w:after="0"/>
              <w:rPr>
                <w:sz w:val="16"/>
                <w:szCs w:val="16"/>
                <w:color w:val="auto"/>
              </w:rPr>
            </w:pPr>
          </w:p>
        </w:tc>
        <w:tc>
          <w:tcPr>
            <w:tcW w:w="1000" w:type="dxa"/>
            <w:vAlign w:val="bottom"/>
            <w:tcBorders>
              <w:right w:val="single" w:sz="8" w:color="auto"/>
            </w:tcBorders>
            <w:shd w:val="clear" w:color="auto" w:fill="F7A800"/>
          </w:tcPr>
          <w:p>
            <w:pPr>
              <w:jc w:val="center"/>
              <w:spacing w:after="0" w:line="195" w:lineRule="exact"/>
              <w:rPr>
                <w:sz w:val="20"/>
                <w:szCs w:val="20"/>
                <w:color w:val="auto"/>
              </w:rPr>
            </w:pPr>
            <w:r>
              <w:rPr>
                <w:rFonts w:ascii="Arial" w:cs="Arial" w:eastAsia="Arial" w:hAnsi="Arial"/>
                <w:sz w:val="18"/>
                <w:szCs w:val="18"/>
                <w:color w:val="auto"/>
                <w:w w:val="93"/>
              </w:rPr>
              <w:t>100% of</w:t>
            </w:r>
          </w:p>
        </w:tc>
        <w:tc>
          <w:tcPr>
            <w:tcW w:w="1760" w:type="dxa"/>
            <w:vAlign w:val="bottom"/>
            <w:tcBorders>
              <w:right w:val="single" w:sz="8" w:color="auto"/>
            </w:tcBorders>
            <w:shd w:val="clear" w:color="auto" w:fill="F7A800"/>
          </w:tcPr>
          <w:p>
            <w:pPr>
              <w:spacing w:after="0"/>
              <w:rPr>
                <w:sz w:val="16"/>
                <w:szCs w:val="16"/>
                <w:color w:val="auto"/>
              </w:rPr>
            </w:pPr>
          </w:p>
        </w:tc>
        <w:tc>
          <w:tcPr>
            <w:tcW w:w="260" w:type="dxa"/>
            <w:vAlign w:val="bottom"/>
            <w:shd w:val="clear" w:color="auto" w:fill="F7A800"/>
          </w:tcPr>
          <w:p>
            <w:pPr>
              <w:spacing w:after="0"/>
              <w:rPr>
                <w:sz w:val="16"/>
                <w:szCs w:val="16"/>
                <w:color w:val="auto"/>
              </w:rPr>
            </w:pPr>
          </w:p>
        </w:tc>
        <w:tc>
          <w:tcPr>
            <w:tcW w:w="1120" w:type="dxa"/>
            <w:vAlign w:val="bottom"/>
            <w:shd w:val="clear" w:color="auto" w:fill="F7A800"/>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88"/>
              </w:rPr>
              <w:t>Target</w:t>
            </w:r>
          </w:p>
        </w:tc>
        <w:tc>
          <w:tcPr>
            <w:tcW w:w="80" w:type="dxa"/>
            <w:vAlign w:val="bottom"/>
            <w:tcBorders>
              <w:bottom w:val="single" w:sz="8" w:color="auto"/>
            </w:tcBorders>
            <w:shd w:val="clear" w:color="auto" w:fill="F7A800"/>
          </w:tcPr>
          <w:p>
            <w:pPr>
              <w:spacing w:after="0"/>
              <w:rPr>
                <w:sz w:val="20"/>
                <w:szCs w:val="20"/>
                <w:color w:val="auto"/>
              </w:rPr>
            </w:pPr>
          </w:p>
        </w:tc>
        <w:tc>
          <w:tcPr>
            <w:tcW w:w="100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89"/>
              </w:rPr>
              <w:t>target goal</w:t>
            </w:r>
          </w:p>
        </w:tc>
        <w:tc>
          <w:tcPr>
            <w:tcW w:w="176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91"/>
              </w:rPr>
              <w:t>100%</w:t>
            </w:r>
          </w:p>
        </w:tc>
        <w:tc>
          <w:tcPr>
            <w:tcW w:w="260" w:type="dxa"/>
            <w:vAlign w:val="bottom"/>
            <w:tcBorders>
              <w:bottom w:val="single" w:sz="8" w:color="auto"/>
            </w:tcBorders>
            <w:shd w:val="clear" w:color="auto" w:fill="F7A800"/>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F7A800"/>
          </w:tcPr>
          <w:p>
            <w:pPr>
              <w:jc w:val="right"/>
              <w:ind w:right="36"/>
              <w:spacing w:after="0"/>
              <w:rPr>
                <w:sz w:val="20"/>
                <w:szCs w:val="20"/>
                <w:color w:val="auto"/>
              </w:rPr>
            </w:pPr>
            <w:r>
              <w:rPr>
                <w:rFonts w:ascii="Arial" w:cs="Arial" w:eastAsia="Arial" w:hAnsi="Arial"/>
                <w:sz w:val="18"/>
                <w:szCs w:val="18"/>
                <w:color w:val="auto"/>
              </w:rPr>
              <w:t>723,609</w:t>
            </w: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940" w:type="dxa"/>
            <w:vAlign w:val="bottom"/>
            <w:tcBorders>
              <w:right w:val="single" w:sz="8" w:color="auto"/>
            </w:tcBorders>
            <w:shd w:val="clear" w:color="auto" w:fill="F7A800"/>
          </w:tcPr>
          <w:p>
            <w:pPr>
              <w:spacing w:after="0"/>
              <w:rPr>
                <w:sz w:val="16"/>
                <w:szCs w:val="16"/>
                <w:color w:val="auto"/>
              </w:rPr>
            </w:pPr>
          </w:p>
        </w:tc>
        <w:tc>
          <w:tcPr>
            <w:tcW w:w="80" w:type="dxa"/>
            <w:vAlign w:val="bottom"/>
            <w:shd w:val="clear" w:color="auto" w:fill="F7A800"/>
          </w:tcPr>
          <w:p>
            <w:pPr>
              <w:spacing w:after="0"/>
              <w:rPr>
                <w:sz w:val="16"/>
                <w:szCs w:val="16"/>
                <w:color w:val="auto"/>
              </w:rPr>
            </w:pPr>
          </w:p>
        </w:tc>
        <w:tc>
          <w:tcPr>
            <w:tcW w:w="1000" w:type="dxa"/>
            <w:vAlign w:val="bottom"/>
            <w:tcBorders>
              <w:right w:val="single" w:sz="8" w:color="auto"/>
            </w:tcBorders>
            <w:shd w:val="clear" w:color="auto" w:fill="F7A800"/>
          </w:tcPr>
          <w:p>
            <w:pPr>
              <w:jc w:val="center"/>
              <w:spacing w:after="0" w:line="195" w:lineRule="exact"/>
              <w:rPr>
                <w:sz w:val="20"/>
                <w:szCs w:val="20"/>
                <w:color w:val="auto"/>
              </w:rPr>
            </w:pPr>
            <w:r>
              <w:rPr>
                <w:rFonts w:ascii="Arial" w:cs="Arial" w:eastAsia="Arial" w:hAnsi="Arial"/>
                <w:sz w:val="18"/>
                <w:szCs w:val="18"/>
                <w:color w:val="auto"/>
                <w:w w:val="93"/>
              </w:rPr>
              <w:t>120% of</w:t>
            </w:r>
          </w:p>
        </w:tc>
        <w:tc>
          <w:tcPr>
            <w:tcW w:w="1760" w:type="dxa"/>
            <w:vAlign w:val="bottom"/>
            <w:tcBorders>
              <w:right w:val="single" w:sz="8" w:color="auto"/>
            </w:tcBorders>
            <w:shd w:val="clear" w:color="auto" w:fill="F7A800"/>
          </w:tcPr>
          <w:p>
            <w:pPr>
              <w:spacing w:after="0"/>
              <w:rPr>
                <w:sz w:val="16"/>
                <w:szCs w:val="16"/>
                <w:color w:val="auto"/>
              </w:rPr>
            </w:pPr>
          </w:p>
        </w:tc>
        <w:tc>
          <w:tcPr>
            <w:tcW w:w="260" w:type="dxa"/>
            <w:vAlign w:val="bottom"/>
            <w:shd w:val="clear" w:color="auto" w:fill="F7A800"/>
          </w:tcPr>
          <w:p>
            <w:pPr>
              <w:spacing w:after="0"/>
              <w:rPr>
                <w:sz w:val="16"/>
                <w:szCs w:val="16"/>
                <w:color w:val="auto"/>
              </w:rPr>
            </w:pPr>
          </w:p>
        </w:tc>
        <w:tc>
          <w:tcPr>
            <w:tcW w:w="1120" w:type="dxa"/>
            <w:vAlign w:val="bottom"/>
            <w:shd w:val="clear" w:color="auto" w:fill="F7A800"/>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94"/>
              </w:rPr>
              <w:t>Maximum</w:t>
            </w:r>
          </w:p>
        </w:tc>
        <w:tc>
          <w:tcPr>
            <w:tcW w:w="80" w:type="dxa"/>
            <w:vAlign w:val="bottom"/>
            <w:tcBorders>
              <w:bottom w:val="single" w:sz="8" w:color="auto"/>
            </w:tcBorders>
            <w:shd w:val="clear" w:color="auto" w:fill="F7A800"/>
          </w:tcPr>
          <w:p>
            <w:pPr>
              <w:spacing w:after="0"/>
              <w:rPr>
                <w:sz w:val="20"/>
                <w:szCs w:val="20"/>
                <w:color w:val="auto"/>
              </w:rPr>
            </w:pPr>
          </w:p>
        </w:tc>
        <w:tc>
          <w:tcPr>
            <w:tcW w:w="100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89"/>
              </w:rPr>
              <w:t>target goal</w:t>
            </w:r>
          </w:p>
        </w:tc>
        <w:tc>
          <w:tcPr>
            <w:tcW w:w="1760" w:type="dxa"/>
            <w:vAlign w:val="bottom"/>
            <w:tcBorders>
              <w:bottom w:val="single" w:sz="8" w:color="auto"/>
              <w:right w:val="single" w:sz="8" w:color="auto"/>
            </w:tcBorders>
            <w:shd w:val="clear" w:color="auto" w:fill="F7A800"/>
          </w:tcPr>
          <w:p>
            <w:pPr>
              <w:jc w:val="center"/>
              <w:spacing w:after="0"/>
              <w:rPr>
                <w:sz w:val="20"/>
                <w:szCs w:val="20"/>
                <w:color w:val="auto"/>
              </w:rPr>
            </w:pPr>
            <w:r>
              <w:rPr>
                <w:rFonts w:ascii="Arial" w:cs="Arial" w:eastAsia="Arial" w:hAnsi="Arial"/>
                <w:sz w:val="18"/>
                <w:szCs w:val="18"/>
                <w:color w:val="auto"/>
                <w:w w:val="91"/>
              </w:rPr>
              <w:t>200%</w:t>
            </w:r>
          </w:p>
        </w:tc>
        <w:tc>
          <w:tcPr>
            <w:tcW w:w="260" w:type="dxa"/>
            <w:vAlign w:val="bottom"/>
            <w:tcBorders>
              <w:bottom w:val="single" w:sz="8" w:color="auto"/>
            </w:tcBorders>
            <w:shd w:val="clear" w:color="auto" w:fill="F7A800"/>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F7A800"/>
          </w:tcPr>
          <w:p>
            <w:pPr>
              <w:jc w:val="right"/>
              <w:ind w:right="36"/>
              <w:spacing w:after="0"/>
              <w:rPr>
                <w:sz w:val="20"/>
                <w:szCs w:val="20"/>
                <w:color w:val="auto"/>
              </w:rPr>
            </w:pPr>
            <w:r>
              <w:rPr>
                <w:rFonts w:ascii="Arial" w:cs="Arial" w:eastAsia="Arial" w:hAnsi="Arial"/>
                <w:sz w:val="18"/>
                <w:szCs w:val="18"/>
                <w:color w:val="auto"/>
              </w:rPr>
              <w:t>868,331</w:t>
            </w:r>
          </w:p>
        </w:tc>
        <w:tc>
          <w:tcPr>
            <w:tcW w:w="0" w:type="dxa"/>
            <w:vAlign w:val="bottom"/>
          </w:tcPr>
          <w:p>
            <w:pPr>
              <w:spacing w:after="0"/>
              <w:rPr>
                <w:sz w:val="1"/>
                <w:szCs w:val="1"/>
                <w:color w:val="auto"/>
              </w:rPr>
            </w:pPr>
          </w:p>
        </w:tc>
      </w:tr>
      <w:tr>
        <w:trPr>
          <w:trHeight w:val="209"/>
        </w:trPr>
        <w:tc>
          <w:tcPr>
            <w:tcW w:w="120" w:type="dxa"/>
            <w:vAlign w:val="bottom"/>
            <w:shd w:val="clear" w:color="auto" w:fill="FBD37F"/>
          </w:tcPr>
          <w:p>
            <w:pPr>
              <w:spacing w:after="0"/>
              <w:rPr>
                <w:sz w:val="18"/>
                <w:szCs w:val="18"/>
                <w:color w:val="auto"/>
              </w:rPr>
            </w:pPr>
          </w:p>
        </w:tc>
        <w:tc>
          <w:tcPr>
            <w:tcW w:w="940" w:type="dxa"/>
            <w:vAlign w:val="bottom"/>
            <w:tcBorders>
              <w:right w:val="single" w:sz="8" w:color="auto"/>
            </w:tcBorders>
            <w:shd w:val="clear" w:color="auto" w:fill="FBD37F"/>
          </w:tcPr>
          <w:p>
            <w:pPr>
              <w:jc w:val="center"/>
              <w:spacing w:after="0"/>
              <w:rPr>
                <w:sz w:val="20"/>
                <w:szCs w:val="20"/>
                <w:color w:val="auto"/>
              </w:rPr>
            </w:pPr>
            <w:r>
              <w:rPr>
                <w:rFonts w:ascii="Arial" w:cs="Arial" w:eastAsia="Arial" w:hAnsi="Arial"/>
                <w:sz w:val="18"/>
                <w:szCs w:val="18"/>
                <w:color w:val="auto"/>
                <w:w w:val="97"/>
              </w:rPr>
              <w:t>Actual for</w:t>
            </w:r>
          </w:p>
        </w:tc>
        <w:tc>
          <w:tcPr>
            <w:tcW w:w="80" w:type="dxa"/>
            <w:vAlign w:val="bottom"/>
            <w:shd w:val="clear" w:color="auto" w:fill="FBD37F"/>
          </w:tcPr>
          <w:p>
            <w:pPr>
              <w:spacing w:after="0"/>
              <w:rPr>
                <w:sz w:val="18"/>
                <w:szCs w:val="18"/>
                <w:color w:val="auto"/>
              </w:rPr>
            </w:pPr>
          </w:p>
        </w:tc>
        <w:tc>
          <w:tcPr>
            <w:tcW w:w="1000" w:type="dxa"/>
            <w:vAlign w:val="bottom"/>
            <w:tcBorders>
              <w:right w:val="single" w:sz="8" w:color="auto"/>
            </w:tcBorders>
            <w:shd w:val="clear" w:color="auto" w:fill="FBD37F"/>
          </w:tcPr>
          <w:p>
            <w:pPr>
              <w:jc w:val="center"/>
              <w:spacing w:after="0"/>
              <w:rPr>
                <w:sz w:val="20"/>
                <w:szCs w:val="20"/>
                <w:color w:val="auto"/>
              </w:rPr>
            </w:pPr>
            <w:r>
              <w:rPr>
                <w:rFonts w:ascii="Arial" w:cs="Arial" w:eastAsia="Arial" w:hAnsi="Arial"/>
                <w:sz w:val="18"/>
                <w:szCs w:val="18"/>
                <w:color w:val="auto"/>
                <w:w w:val="92"/>
              </w:rPr>
              <w:t>96.5% of</w:t>
            </w:r>
          </w:p>
        </w:tc>
        <w:tc>
          <w:tcPr>
            <w:tcW w:w="1760" w:type="dxa"/>
            <w:vAlign w:val="bottom"/>
            <w:tcBorders>
              <w:right w:val="single" w:sz="8" w:color="auto"/>
            </w:tcBorders>
            <w:shd w:val="clear" w:color="auto" w:fill="FBD37F"/>
          </w:tcPr>
          <w:p>
            <w:pPr>
              <w:spacing w:after="0"/>
              <w:rPr>
                <w:sz w:val="18"/>
                <w:szCs w:val="18"/>
                <w:color w:val="auto"/>
              </w:rPr>
            </w:pPr>
          </w:p>
        </w:tc>
        <w:tc>
          <w:tcPr>
            <w:tcW w:w="260" w:type="dxa"/>
            <w:vAlign w:val="bottom"/>
            <w:shd w:val="clear" w:color="auto" w:fill="FBD37F"/>
          </w:tcPr>
          <w:p>
            <w:pPr>
              <w:spacing w:after="0"/>
              <w:rPr>
                <w:sz w:val="18"/>
                <w:szCs w:val="18"/>
                <w:color w:val="auto"/>
              </w:rPr>
            </w:pPr>
          </w:p>
        </w:tc>
        <w:tc>
          <w:tcPr>
            <w:tcW w:w="1120" w:type="dxa"/>
            <w:vAlign w:val="bottom"/>
            <w:shd w:val="clear" w:color="auto" w:fill="FBD37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Borders>
              <w:bottom w:val="single" w:sz="8" w:color="auto"/>
            </w:tcBorders>
            <w:shd w:val="clear" w:color="auto" w:fill="FBD37F"/>
          </w:tcPr>
          <w:p>
            <w:pPr>
              <w:spacing w:after="0"/>
              <w:rPr>
                <w:sz w:val="20"/>
                <w:szCs w:val="20"/>
                <w:color w:val="auto"/>
              </w:rPr>
            </w:pPr>
          </w:p>
        </w:tc>
        <w:tc>
          <w:tcPr>
            <w:tcW w:w="940" w:type="dxa"/>
            <w:vAlign w:val="bottom"/>
            <w:tcBorders>
              <w:bottom w:val="single" w:sz="8" w:color="auto"/>
              <w:right w:val="single" w:sz="8" w:color="auto"/>
            </w:tcBorders>
            <w:shd w:val="clear" w:color="auto" w:fill="FBD37F"/>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tcBorders>
              <w:bottom w:val="single" w:sz="8" w:color="auto"/>
            </w:tcBorders>
            <w:shd w:val="clear" w:color="auto" w:fill="FBD37F"/>
          </w:tcPr>
          <w:p>
            <w:pPr>
              <w:spacing w:after="0"/>
              <w:rPr>
                <w:sz w:val="20"/>
                <w:szCs w:val="20"/>
                <w:color w:val="auto"/>
              </w:rPr>
            </w:pPr>
          </w:p>
        </w:tc>
        <w:tc>
          <w:tcPr>
            <w:tcW w:w="1000" w:type="dxa"/>
            <w:vAlign w:val="bottom"/>
            <w:tcBorders>
              <w:bottom w:val="single" w:sz="8" w:color="auto"/>
              <w:right w:val="single" w:sz="8" w:color="auto"/>
            </w:tcBorders>
            <w:shd w:val="clear" w:color="auto" w:fill="FBD37F"/>
          </w:tcPr>
          <w:p>
            <w:pPr>
              <w:jc w:val="center"/>
              <w:spacing w:after="0"/>
              <w:rPr>
                <w:sz w:val="20"/>
                <w:szCs w:val="20"/>
                <w:color w:val="auto"/>
              </w:rPr>
            </w:pPr>
            <w:r>
              <w:rPr>
                <w:rFonts w:ascii="Arial" w:cs="Arial" w:eastAsia="Arial" w:hAnsi="Arial"/>
                <w:sz w:val="18"/>
                <w:szCs w:val="18"/>
                <w:color w:val="auto"/>
                <w:w w:val="89"/>
              </w:rPr>
              <w:t>target goal</w:t>
            </w:r>
          </w:p>
        </w:tc>
        <w:tc>
          <w:tcPr>
            <w:tcW w:w="1760" w:type="dxa"/>
            <w:vAlign w:val="bottom"/>
            <w:tcBorders>
              <w:bottom w:val="single" w:sz="8" w:color="auto"/>
              <w:right w:val="single" w:sz="8" w:color="auto"/>
            </w:tcBorders>
            <w:shd w:val="clear" w:color="auto" w:fill="FBD37F"/>
          </w:tcPr>
          <w:p>
            <w:pPr>
              <w:jc w:val="center"/>
              <w:spacing w:after="0"/>
              <w:rPr>
                <w:sz w:val="20"/>
                <w:szCs w:val="20"/>
                <w:color w:val="auto"/>
              </w:rPr>
            </w:pPr>
            <w:r>
              <w:rPr>
                <w:rFonts w:ascii="Arial" w:cs="Arial" w:eastAsia="Arial" w:hAnsi="Arial"/>
                <w:sz w:val="18"/>
                <w:szCs w:val="18"/>
                <w:color w:val="auto"/>
                <w:w w:val="93"/>
              </w:rPr>
              <w:t>82.5%</w:t>
            </w:r>
          </w:p>
        </w:tc>
        <w:tc>
          <w:tcPr>
            <w:tcW w:w="260" w:type="dxa"/>
            <w:vAlign w:val="bottom"/>
            <w:tcBorders>
              <w:bottom w:val="single" w:sz="8" w:color="auto"/>
            </w:tcBorders>
            <w:shd w:val="clear" w:color="auto" w:fill="FBD37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FBD37F"/>
          </w:tcPr>
          <w:p>
            <w:pPr>
              <w:jc w:val="right"/>
              <w:ind w:right="36"/>
              <w:spacing w:after="0"/>
              <w:rPr>
                <w:sz w:val="20"/>
                <w:szCs w:val="20"/>
                <w:color w:val="auto"/>
              </w:rPr>
            </w:pPr>
            <w:r>
              <w:rPr>
                <w:rFonts w:ascii="Arial" w:cs="Arial" w:eastAsia="Arial" w:hAnsi="Arial"/>
                <w:sz w:val="18"/>
                <w:szCs w:val="18"/>
                <w:color w:val="auto"/>
              </w:rPr>
              <w:t>698,064</w:t>
            </w:r>
          </w:p>
        </w:tc>
        <w:tc>
          <w:tcPr>
            <w:tcW w:w="0" w:type="dxa"/>
            <w:vAlign w:val="bottom"/>
          </w:tcPr>
          <w:p>
            <w:pPr>
              <w:spacing w:after="0"/>
              <w:rPr>
                <w:sz w:val="1"/>
                <w:szCs w:val="1"/>
                <w:color w:val="auto"/>
              </w:rPr>
            </w:pPr>
          </w:p>
        </w:tc>
      </w:tr>
    </w:tbl>
    <w:p>
      <w:pPr>
        <w:sectPr>
          <w:pgSz w:w="11900" w:h="16838" w:orient="portrait"/>
          <w:cols w:equalWidth="0" w:num="2">
            <w:col w:w="5720" w:space="140"/>
            <w:col w:w="5280"/>
          </w:cols>
          <w:pgMar w:left="320" w:top="459" w:right="4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Payout opportunities range from 50% to 200% of the NEO’s target annual bonus opportunity, depending on actual performance achievement (payouts for performance between performance levels is interpolated on a straight-line basis)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261"/>
        </w:trPr>
        <w:tc>
          <w:tcPr>
            <w:tcW w:w="900" w:type="dxa"/>
            <w:vAlign w:val="bottom"/>
            <w:tcBorders>
              <w:right w:val="single" w:sz="8" w:color="auto"/>
            </w:tcBorders>
          </w:tcPr>
          <w:p>
            <w:pPr>
              <w:spacing w:after="0"/>
              <w:rPr>
                <w:sz w:val="22"/>
                <w:szCs w:val="22"/>
                <w:color w:val="auto"/>
              </w:rPr>
            </w:pPr>
          </w:p>
        </w:tc>
        <w:tc>
          <w:tcPr>
            <w:tcW w:w="320" w:type="dxa"/>
            <w:vAlign w:val="bottom"/>
            <w:tcBorders>
              <w:top w:val="single" w:sz="8" w:color="auto"/>
              <w:bottom w:val="single" w:sz="8" w:color="F7A800"/>
            </w:tcBorders>
            <w:shd w:val="clear" w:color="auto" w:fill="F7A800"/>
          </w:tcPr>
          <w:p>
            <w:pPr>
              <w:spacing w:after="0"/>
              <w:rPr>
                <w:sz w:val="22"/>
                <w:szCs w:val="22"/>
                <w:color w:val="auto"/>
              </w:rPr>
            </w:pPr>
          </w:p>
        </w:tc>
        <w:tc>
          <w:tcPr>
            <w:tcW w:w="5180" w:type="dxa"/>
            <w:vAlign w:val="bottom"/>
            <w:tcBorders>
              <w:top w:val="single" w:sz="8" w:color="auto"/>
              <w:bottom w:val="single" w:sz="8" w:color="F7A800"/>
              <w:right w:val="single" w:sz="8" w:color="auto"/>
            </w:tcBorders>
            <w:shd w:val="clear" w:color="auto" w:fill="F7A800"/>
          </w:tcPr>
          <w:p>
            <w:pPr>
              <w:jc w:val="center"/>
              <w:ind w:right="134"/>
              <w:spacing w:after="0"/>
              <w:rPr>
                <w:sz w:val="20"/>
                <w:szCs w:val="20"/>
                <w:color w:val="auto"/>
              </w:rPr>
            </w:pPr>
            <w:r>
              <w:rPr>
                <w:rFonts w:ascii="Arial" w:cs="Arial" w:eastAsia="Arial" w:hAnsi="Arial"/>
                <w:sz w:val="14"/>
                <w:szCs w:val="14"/>
                <w:b w:val="1"/>
                <w:bCs w:val="1"/>
                <w:color w:val="auto"/>
                <w:w w:val="93"/>
              </w:rPr>
              <w:t>Executive Name</w:t>
            </w:r>
          </w:p>
        </w:tc>
        <w:tc>
          <w:tcPr>
            <w:tcW w:w="1740" w:type="dxa"/>
            <w:vAlign w:val="bottom"/>
            <w:tcBorders>
              <w:top w:val="single" w:sz="8" w:color="auto"/>
              <w:bottom w:val="single" w:sz="8" w:color="F7A800"/>
            </w:tcBorders>
            <w:shd w:val="clear" w:color="auto" w:fill="F7A800"/>
          </w:tcPr>
          <w:p>
            <w:pPr>
              <w:spacing w:after="0"/>
              <w:rPr>
                <w:sz w:val="22"/>
                <w:szCs w:val="22"/>
                <w:color w:val="auto"/>
              </w:rPr>
            </w:pPr>
          </w:p>
        </w:tc>
        <w:tc>
          <w:tcPr>
            <w:tcW w:w="2020" w:type="dxa"/>
            <w:vAlign w:val="bottom"/>
            <w:tcBorders>
              <w:top w:val="single" w:sz="8" w:color="auto"/>
              <w:bottom w:val="single" w:sz="8" w:color="F7A800"/>
              <w:right w:val="single" w:sz="8" w:color="auto"/>
            </w:tcBorders>
            <w:gridSpan w:val="2"/>
            <w:shd w:val="clear" w:color="auto" w:fill="F7A800"/>
          </w:tcPr>
          <w:p>
            <w:pPr>
              <w:jc w:val="right"/>
              <w:ind w:right="1074"/>
              <w:spacing w:after="0"/>
              <w:rPr>
                <w:sz w:val="20"/>
                <w:szCs w:val="20"/>
                <w:color w:val="auto"/>
              </w:rPr>
            </w:pPr>
            <w:r>
              <w:rPr>
                <w:rFonts w:ascii="Arial" w:cs="Arial" w:eastAsia="Arial" w:hAnsi="Arial"/>
                <w:sz w:val="14"/>
                <w:szCs w:val="14"/>
                <w:b w:val="1"/>
                <w:bCs w:val="1"/>
                <w:color w:val="auto"/>
                <w:w w:val="94"/>
              </w:rPr>
              <w:t>2018 PSUs(1)</w:t>
            </w:r>
          </w:p>
        </w:tc>
      </w:tr>
      <w:tr>
        <w:trPr>
          <w:trHeight w:val="242"/>
        </w:trPr>
        <w:tc>
          <w:tcPr>
            <w:tcW w:w="900" w:type="dxa"/>
            <w:vAlign w:val="bottom"/>
            <w:tcBorders>
              <w:right w:val="single" w:sz="8" w:color="auto"/>
            </w:tcBorders>
          </w:tcPr>
          <w:p>
            <w:pPr>
              <w:spacing w:after="0"/>
              <w:rPr>
                <w:sz w:val="20"/>
                <w:szCs w:val="20"/>
                <w:color w:val="auto"/>
              </w:rPr>
            </w:pPr>
          </w:p>
        </w:tc>
        <w:tc>
          <w:tcPr>
            <w:tcW w:w="320" w:type="dxa"/>
            <w:vAlign w:val="bottom"/>
            <w:tcBorders>
              <w:top w:val="single" w:sz="8" w:color="auto"/>
              <w:bottom w:val="single" w:sz="8" w:color="F7A800"/>
            </w:tcBorders>
            <w:shd w:val="clear" w:color="auto" w:fill="F7A800"/>
          </w:tcPr>
          <w:p>
            <w:pPr>
              <w:spacing w:after="0"/>
              <w:rPr>
                <w:sz w:val="20"/>
                <w:szCs w:val="20"/>
                <w:color w:val="auto"/>
              </w:rPr>
            </w:pPr>
          </w:p>
        </w:tc>
        <w:tc>
          <w:tcPr>
            <w:tcW w:w="5180" w:type="dxa"/>
            <w:vAlign w:val="bottom"/>
            <w:tcBorders>
              <w:top w:val="single" w:sz="8" w:color="auto"/>
              <w:bottom w:val="single" w:sz="8" w:color="F7A800"/>
              <w:right w:val="single" w:sz="8" w:color="auto"/>
            </w:tcBorders>
            <w:shd w:val="clear" w:color="auto" w:fill="F7A800"/>
          </w:tcPr>
          <w:p>
            <w:pPr>
              <w:spacing w:after="0"/>
              <w:rPr>
                <w:sz w:val="20"/>
                <w:szCs w:val="20"/>
                <w:color w:val="auto"/>
              </w:rPr>
            </w:pPr>
          </w:p>
        </w:tc>
        <w:tc>
          <w:tcPr>
            <w:tcW w:w="1740" w:type="dxa"/>
            <w:vAlign w:val="bottom"/>
            <w:tcBorders>
              <w:top w:val="single" w:sz="8" w:color="auto"/>
              <w:bottom w:val="single" w:sz="8" w:color="F7A800"/>
            </w:tcBorders>
            <w:shd w:val="clear" w:color="auto" w:fill="F7A800"/>
          </w:tcPr>
          <w:p>
            <w:pPr>
              <w:jc w:val="right"/>
              <w:spacing w:after="0"/>
              <w:rPr>
                <w:sz w:val="20"/>
                <w:szCs w:val="20"/>
                <w:color w:val="auto"/>
              </w:rPr>
            </w:pPr>
            <w:r>
              <w:rPr>
                <w:rFonts w:ascii="Arial" w:cs="Arial" w:eastAsia="Arial" w:hAnsi="Arial"/>
                <w:sz w:val="14"/>
                <w:szCs w:val="14"/>
                <w:b w:val="1"/>
                <w:bCs w:val="1"/>
                <w:color w:val="auto"/>
              </w:rPr>
              <w:t>Target Units(#)</w:t>
            </w:r>
          </w:p>
        </w:tc>
        <w:tc>
          <w:tcPr>
            <w:tcW w:w="100" w:type="dxa"/>
            <w:vAlign w:val="bottom"/>
            <w:tcBorders>
              <w:top w:val="single" w:sz="8" w:color="auto"/>
              <w:bottom w:val="single" w:sz="8" w:color="F7A800"/>
              <w:right w:val="single" w:sz="8" w:color="auto"/>
            </w:tcBorders>
            <w:shd w:val="clear" w:color="auto" w:fill="F7A800"/>
          </w:tcPr>
          <w:p>
            <w:pPr>
              <w:spacing w:after="0"/>
              <w:rPr>
                <w:sz w:val="20"/>
                <w:szCs w:val="20"/>
                <w:color w:val="auto"/>
              </w:rPr>
            </w:pPr>
          </w:p>
        </w:tc>
        <w:tc>
          <w:tcPr>
            <w:tcW w:w="1920" w:type="dxa"/>
            <w:vAlign w:val="bottom"/>
            <w:tcBorders>
              <w:top w:val="single" w:sz="8" w:color="auto"/>
              <w:bottom w:val="single" w:sz="8" w:color="F7A800"/>
              <w:right w:val="single" w:sz="8" w:color="auto"/>
            </w:tcBorders>
            <w:shd w:val="clear" w:color="auto" w:fill="F7A800"/>
          </w:tcPr>
          <w:p>
            <w:pPr>
              <w:jc w:val="right"/>
              <w:ind w:right="94"/>
              <w:spacing w:after="0"/>
              <w:rPr>
                <w:sz w:val="20"/>
                <w:szCs w:val="20"/>
                <w:color w:val="auto"/>
              </w:rPr>
            </w:pPr>
            <w:r>
              <w:rPr>
                <w:rFonts w:ascii="Arial" w:cs="Arial" w:eastAsia="Arial" w:hAnsi="Arial"/>
                <w:sz w:val="14"/>
                <w:szCs w:val="14"/>
                <w:b w:val="1"/>
                <w:bCs w:val="1"/>
                <w:color w:val="auto"/>
              </w:rPr>
              <w:t>Earned Units(#)</w:t>
            </w:r>
          </w:p>
        </w:tc>
      </w:tr>
      <w:tr>
        <w:trPr>
          <w:trHeight w:val="230"/>
        </w:trPr>
        <w:tc>
          <w:tcPr>
            <w:tcW w:w="900" w:type="dxa"/>
            <w:vAlign w:val="bottom"/>
            <w:tcBorders>
              <w:right w:val="single" w:sz="8" w:color="auto"/>
            </w:tcBorders>
          </w:tcPr>
          <w:p>
            <w:pPr>
              <w:spacing w:after="0"/>
              <w:rPr>
                <w:sz w:val="20"/>
                <w:szCs w:val="20"/>
                <w:color w:val="auto"/>
              </w:rPr>
            </w:pPr>
          </w:p>
        </w:tc>
        <w:tc>
          <w:tcPr>
            <w:tcW w:w="320" w:type="dxa"/>
            <w:vAlign w:val="bottom"/>
            <w:tcBorders>
              <w:top w:val="single" w:sz="8" w:color="auto"/>
              <w:bottom w:val="single" w:sz="8" w:color="auto"/>
            </w:tcBorders>
            <w:shd w:val="clear" w:color="auto" w:fill="F7A800"/>
          </w:tcPr>
          <w:p>
            <w:pPr>
              <w:spacing w:after="0"/>
              <w:rPr>
                <w:sz w:val="20"/>
                <w:szCs w:val="20"/>
                <w:color w:val="auto"/>
              </w:rPr>
            </w:pPr>
          </w:p>
        </w:tc>
        <w:tc>
          <w:tcPr>
            <w:tcW w:w="5180" w:type="dxa"/>
            <w:vAlign w:val="bottom"/>
            <w:tcBorders>
              <w:top w:val="single" w:sz="8" w:color="auto"/>
              <w:bottom w:val="single" w:sz="8" w:color="auto"/>
              <w:right w:val="single" w:sz="8" w:color="auto"/>
            </w:tcBorders>
            <w:shd w:val="clear" w:color="auto" w:fill="F7A800"/>
          </w:tcPr>
          <w:p>
            <w:pPr>
              <w:jc w:val="center"/>
              <w:ind w:right="134"/>
              <w:spacing w:after="0"/>
              <w:rPr>
                <w:sz w:val="20"/>
                <w:szCs w:val="20"/>
                <w:color w:val="auto"/>
              </w:rPr>
            </w:pPr>
            <w:r>
              <w:rPr>
                <w:rFonts w:ascii="Arial" w:cs="Arial" w:eastAsia="Arial" w:hAnsi="Arial"/>
                <w:sz w:val="18"/>
                <w:szCs w:val="18"/>
                <w:color w:val="auto"/>
                <w:w w:val="90"/>
              </w:rPr>
              <w:t>Gary L. Carano</w:t>
            </w:r>
          </w:p>
        </w:tc>
        <w:tc>
          <w:tcPr>
            <w:tcW w:w="1740" w:type="dxa"/>
            <w:vAlign w:val="bottom"/>
            <w:tcBorders>
              <w:top w:val="single" w:sz="8" w:color="auto"/>
              <w:bottom w:val="single" w:sz="8" w:color="auto"/>
            </w:tcBorders>
            <w:shd w:val="clear" w:color="auto" w:fill="F7A800"/>
          </w:tcPr>
          <w:p>
            <w:pPr>
              <w:jc w:val="right"/>
              <w:spacing w:after="0"/>
              <w:rPr>
                <w:sz w:val="20"/>
                <w:szCs w:val="20"/>
                <w:color w:val="auto"/>
              </w:rPr>
            </w:pPr>
            <w:r>
              <w:rPr>
                <w:rFonts w:ascii="Arial" w:cs="Arial" w:eastAsia="Arial" w:hAnsi="Arial"/>
                <w:sz w:val="18"/>
                <w:szCs w:val="18"/>
                <w:color w:val="auto"/>
              </w:rPr>
              <w:t>38,902</w:t>
            </w:r>
          </w:p>
        </w:tc>
        <w:tc>
          <w:tcPr>
            <w:tcW w:w="100" w:type="dxa"/>
            <w:vAlign w:val="bottom"/>
            <w:tcBorders>
              <w:top w:val="single" w:sz="8" w:color="auto"/>
              <w:bottom w:val="single" w:sz="8" w:color="auto"/>
              <w:right w:val="single" w:sz="8" w:color="auto"/>
            </w:tcBorders>
            <w:shd w:val="clear" w:color="auto" w:fill="F7A800"/>
          </w:tcPr>
          <w:p>
            <w:pPr>
              <w:spacing w:after="0"/>
              <w:rPr>
                <w:sz w:val="20"/>
                <w:szCs w:val="20"/>
                <w:color w:val="auto"/>
              </w:rPr>
            </w:pPr>
          </w:p>
        </w:tc>
        <w:tc>
          <w:tcPr>
            <w:tcW w:w="1920" w:type="dxa"/>
            <w:vAlign w:val="bottom"/>
            <w:tcBorders>
              <w:top w:val="single" w:sz="8" w:color="auto"/>
              <w:bottom w:val="single" w:sz="8" w:color="auto"/>
              <w:right w:val="single" w:sz="8" w:color="auto"/>
            </w:tcBorders>
            <w:shd w:val="clear" w:color="auto" w:fill="F7A800"/>
          </w:tcPr>
          <w:p>
            <w:pPr>
              <w:jc w:val="right"/>
              <w:ind w:right="114"/>
              <w:spacing w:after="0"/>
              <w:rPr>
                <w:sz w:val="20"/>
                <w:szCs w:val="20"/>
                <w:color w:val="auto"/>
              </w:rPr>
            </w:pPr>
            <w:r>
              <w:rPr>
                <w:rFonts w:ascii="Arial" w:cs="Arial" w:eastAsia="Arial" w:hAnsi="Arial"/>
                <w:sz w:val="18"/>
                <w:szCs w:val="18"/>
                <w:color w:val="auto"/>
              </w:rPr>
              <w:t>42,792</w:t>
            </w:r>
          </w:p>
        </w:tc>
      </w:tr>
      <w:tr>
        <w:trPr>
          <w:trHeight w:val="237"/>
        </w:trPr>
        <w:tc>
          <w:tcPr>
            <w:tcW w:w="900" w:type="dxa"/>
            <w:vAlign w:val="bottom"/>
            <w:tcBorders>
              <w:right w:val="single" w:sz="8" w:color="auto"/>
            </w:tcBorders>
          </w:tcPr>
          <w:p>
            <w:pPr>
              <w:spacing w:after="0"/>
              <w:rPr>
                <w:sz w:val="20"/>
                <w:szCs w:val="20"/>
                <w:color w:val="auto"/>
              </w:rPr>
            </w:pPr>
          </w:p>
        </w:tc>
        <w:tc>
          <w:tcPr>
            <w:tcW w:w="320" w:type="dxa"/>
            <w:vAlign w:val="bottom"/>
            <w:tcBorders>
              <w:bottom w:val="single" w:sz="8" w:color="auto"/>
            </w:tcBorders>
            <w:shd w:val="clear" w:color="auto" w:fill="F7A800"/>
          </w:tcPr>
          <w:p>
            <w:pPr>
              <w:spacing w:after="0"/>
              <w:rPr>
                <w:sz w:val="20"/>
                <w:szCs w:val="20"/>
                <w:color w:val="auto"/>
              </w:rPr>
            </w:pPr>
          </w:p>
        </w:tc>
        <w:tc>
          <w:tcPr>
            <w:tcW w:w="5180" w:type="dxa"/>
            <w:vAlign w:val="bottom"/>
            <w:tcBorders>
              <w:bottom w:val="single" w:sz="8" w:color="auto"/>
              <w:right w:val="single" w:sz="8" w:color="auto"/>
            </w:tcBorders>
            <w:shd w:val="clear" w:color="auto" w:fill="F7A800"/>
          </w:tcPr>
          <w:p>
            <w:pPr>
              <w:jc w:val="center"/>
              <w:ind w:right="134"/>
              <w:spacing w:after="0"/>
              <w:rPr>
                <w:sz w:val="20"/>
                <w:szCs w:val="20"/>
                <w:color w:val="auto"/>
              </w:rPr>
            </w:pPr>
            <w:r>
              <w:rPr>
                <w:rFonts w:ascii="Arial" w:cs="Arial" w:eastAsia="Arial" w:hAnsi="Arial"/>
                <w:sz w:val="18"/>
                <w:szCs w:val="18"/>
                <w:color w:val="auto"/>
                <w:w w:val="88"/>
              </w:rPr>
              <w:t>Thomas R. Reeg</w:t>
            </w:r>
          </w:p>
        </w:tc>
        <w:tc>
          <w:tcPr>
            <w:tcW w:w="1740" w:type="dxa"/>
            <w:vAlign w:val="bottom"/>
            <w:tcBorders>
              <w:bottom w:val="single" w:sz="8" w:color="auto"/>
            </w:tcBorders>
            <w:shd w:val="clear" w:color="auto" w:fill="F7A800"/>
          </w:tcPr>
          <w:p>
            <w:pPr>
              <w:jc w:val="right"/>
              <w:spacing w:after="0"/>
              <w:rPr>
                <w:sz w:val="20"/>
                <w:szCs w:val="20"/>
                <w:color w:val="auto"/>
              </w:rPr>
            </w:pPr>
            <w:r>
              <w:rPr>
                <w:rFonts w:ascii="Arial" w:cs="Arial" w:eastAsia="Arial" w:hAnsi="Arial"/>
                <w:sz w:val="18"/>
                <w:szCs w:val="18"/>
                <w:color w:val="auto"/>
              </w:rPr>
              <w:t>23,525</w:t>
            </w:r>
          </w:p>
        </w:tc>
        <w:tc>
          <w:tcPr>
            <w:tcW w:w="100" w:type="dxa"/>
            <w:vAlign w:val="bottom"/>
            <w:tcBorders>
              <w:bottom w:val="single" w:sz="8" w:color="auto"/>
              <w:right w:val="single" w:sz="8" w:color="auto"/>
            </w:tcBorders>
            <w:shd w:val="clear" w:color="auto" w:fill="F7A800"/>
          </w:tcPr>
          <w:p>
            <w:pPr>
              <w:spacing w:after="0"/>
              <w:rPr>
                <w:sz w:val="20"/>
                <w:szCs w:val="20"/>
                <w:color w:val="auto"/>
              </w:rPr>
            </w:pPr>
          </w:p>
        </w:tc>
        <w:tc>
          <w:tcPr>
            <w:tcW w:w="1920" w:type="dxa"/>
            <w:vAlign w:val="bottom"/>
            <w:tcBorders>
              <w:bottom w:val="single" w:sz="8" w:color="auto"/>
              <w:right w:val="single" w:sz="8" w:color="auto"/>
            </w:tcBorders>
            <w:shd w:val="clear" w:color="auto" w:fill="F7A800"/>
          </w:tcPr>
          <w:p>
            <w:pPr>
              <w:jc w:val="right"/>
              <w:ind w:right="114"/>
              <w:spacing w:after="0"/>
              <w:rPr>
                <w:sz w:val="20"/>
                <w:szCs w:val="20"/>
                <w:color w:val="auto"/>
              </w:rPr>
            </w:pPr>
            <w:r>
              <w:rPr>
                <w:rFonts w:ascii="Arial" w:cs="Arial" w:eastAsia="Arial" w:hAnsi="Arial"/>
                <w:sz w:val="18"/>
                <w:szCs w:val="18"/>
                <w:color w:val="auto"/>
              </w:rPr>
              <w:t>25,877</w:t>
            </w:r>
          </w:p>
        </w:tc>
      </w:tr>
      <w:tr>
        <w:trPr>
          <w:trHeight w:val="236"/>
        </w:trPr>
        <w:tc>
          <w:tcPr>
            <w:tcW w:w="900" w:type="dxa"/>
            <w:vAlign w:val="bottom"/>
            <w:tcBorders>
              <w:right w:val="single" w:sz="8" w:color="auto"/>
            </w:tcBorders>
          </w:tcPr>
          <w:p>
            <w:pPr>
              <w:spacing w:after="0"/>
              <w:rPr>
                <w:sz w:val="20"/>
                <w:szCs w:val="20"/>
                <w:color w:val="auto"/>
              </w:rPr>
            </w:pPr>
          </w:p>
        </w:tc>
        <w:tc>
          <w:tcPr>
            <w:tcW w:w="320" w:type="dxa"/>
            <w:vAlign w:val="bottom"/>
            <w:tcBorders>
              <w:bottom w:val="single" w:sz="8" w:color="auto"/>
            </w:tcBorders>
            <w:shd w:val="clear" w:color="auto" w:fill="F7A800"/>
          </w:tcPr>
          <w:p>
            <w:pPr>
              <w:spacing w:after="0"/>
              <w:rPr>
                <w:sz w:val="20"/>
                <w:szCs w:val="20"/>
                <w:color w:val="auto"/>
              </w:rPr>
            </w:pPr>
          </w:p>
        </w:tc>
        <w:tc>
          <w:tcPr>
            <w:tcW w:w="5180" w:type="dxa"/>
            <w:vAlign w:val="bottom"/>
            <w:tcBorders>
              <w:bottom w:val="single" w:sz="8" w:color="auto"/>
              <w:right w:val="single" w:sz="8" w:color="auto"/>
            </w:tcBorders>
            <w:shd w:val="clear" w:color="auto" w:fill="F7A800"/>
          </w:tcPr>
          <w:p>
            <w:pPr>
              <w:jc w:val="center"/>
              <w:ind w:right="134"/>
              <w:spacing w:after="0"/>
              <w:rPr>
                <w:sz w:val="20"/>
                <w:szCs w:val="20"/>
                <w:color w:val="auto"/>
              </w:rPr>
            </w:pPr>
            <w:r>
              <w:rPr>
                <w:rFonts w:ascii="Arial" w:cs="Arial" w:eastAsia="Arial" w:hAnsi="Arial"/>
                <w:sz w:val="18"/>
                <w:szCs w:val="18"/>
                <w:color w:val="auto"/>
                <w:w w:val="93"/>
              </w:rPr>
              <w:t>Anthony L. Carano</w:t>
            </w:r>
          </w:p>
        </w:tc>
        <w:tc>
          <w:tcPr>
            <w:tcW w:w="1740" w:type="dxa"/>
            <w:vAlign w:val="bottom"/>
            <w:tcBorders>
              <w:bottom w:val="single" w:sz="8" w:color="auto"/>
            </w:tcBorders>
            <w:shd w:val="clear" w:color="auto" w:fill="F7A800"/>
          </w:tcPr>
          <w:p>
            <w:pPr>
              <w:jc w:val="right"/>
              <w:spacing w:after="0"/>
              <w:rPr>
                <w:sz w:val="20"/>
                <w:szCs w:val="20"/>
                <w:color w:val="auto"/>
              </w:rPr>
            </w:pPr>
            <w:r>
              <w:rPr>
                <w:rFonts w:ascii="Arial" w:cs="Arial" w:eastAsia="Arial" w:hAnsi="Arial"/>
                <w:sz w:val="18"/>
                <w:szCs w:val="18"/>
                <w:color w:val="auto"/>
              </w:rPr>
              <w:t>13,454</w:t>
            </w:r>
          </w:p>
        </w:tc>
        <w:tc>
          <w:tcPr>
            <w:tcW w:w="100" w:type="dxa"/>
            <w:vAlign w:val="bottom"/>
            <w:tcBorders>
              <w:bottom w:val="single" w:sz="8" w:color="auto"/>
              <w:right w:val="single" w:sz="8" w:color="auto"/>
            </w:tcBorders>
            <w:shd w:val="clear" w:color="auto" w:fill="F7A800"/>
          </w:tcPr>
          <w:p>
            <w:pPr>
              <w:spacing w:after="0"/>
              <w:rPr>
                <w:sz w:val="20"/>
                <w:szCs w:val="20"/>
                <w:color w:val="auto"/>
              </w:rPr>
            </w:pPr>
          </w:p>
        </w:tc>
        <w:tc>
          <w:tcPr>
            <w:tcW w:w="1920" w:type="dxa"/>
            <w:vAlign w:val="bottom"/>
            <w:tcBorders>
              <w:bottom w:val="single" w:sz="8" w:color="auto"/>
              <w:right w:val="single" w:sz="8" w:color="auto"/>
            </w:tcBorders>
            <w:shd w:val="clear" w:color="auto" w:fill="F7A800"/>
          </w:tcPr>
          <w:p>
            <w:pPr>
              <w:jc w:val="right"/>
              <w:ind w:right="114"/>
              <w:spacing w:after="0"/>
              <w:rPr>
                <w:sz w:val="20"/>
                <w:szCs w:val="20"/>
                <w:color w:val="auto"/>
              </w:rPr>
            </w:pPr>
            <w:r>
              <w:rPr>
                <w:rFonts w:ascii="Arial" w:cs="Arial" w:eastAsia="Arial" w:hAnsi="Arial"/>
                <w:sz w:val="18"/>
                <w:szCs w:val="18"/>
                <w:color w:val="auto"/>
              </w:rPr>
              <w:t>14,799</w:t>
            </w:r>
          </w:p>
        </w:tc>
      </w:tr>
      <w:tr>
        <w:trPr>
          <w:trHeight w:val="236"/>
        </w:trPr>
        <w:tc>
          <w:tcPr>
            <w:tcW w:w="900" w:type="dxa"/>
            <w:vAlign w:val="bottom"/>
            <w:tcBorders>
              <w:right w:val="single" w:sz="8" w:color="auto"/>
            </w:tcBorders>
          </w:tcPr>
          <w:p>
            <w:pPr>
              <w:spacing w:after="0"/>
              <w:rPr>
                <w:sz w:val="20"/>
                <w:szCs w:val="20"/>
                <w:color w:val="auto"/>
              </w:rPr>
            </w:pPr>
          </w:p>
        </w:tc>
        <w:tc>
          <w:tcPr>
            <w:tcW w:w="320" w:type="dxa"/>
            <w:vAlign w:val="bottom"/>
            <w:tcBorders>
              <w:bottom w:val="single" w:sz="8" w:color="auto"/>
            </w:tcBorders>
            <w:shd w:val="clear" w:color="auto" w:fill="F7A800"/>
          </w:tcPr>
          <w:p>
            <w:pPr>
              <w:spacing w:after="0"/>
              <w:rPr>
                <w:sz w:val="20"/>
                <w:szCs w:val="20"/>
                <w:color w:val="auto"/>
              </w:rPr>
            </w:pPr>
          </w:p>
        </w:tc>
        <w:tc>
          <w:tcPr>
            <w:tcW w:w="5180" w:type="dxa"/>
            <w:vAlign w:val="bottom"/>
            <w:tcBorders>
              <w:bottom w:val="single" w:sz="8" w:color="auto"/>
              <w:right w:val="single" w:sz="8" w:color="auto"/>
            </w:tcBorders>
            <w:shd w:val="clear" w:color="auto" w:fill="F7A800"/>
          </w:tcPr>
          <w:p>
            <w:pPr>
              <w:jc w:val="center"/>
              <w:ind w:right="114"/>
              <w:spacing w:after="0"/>
              <w:rPr>
                <w:sz w:val="20"/>
                <w:szCs w:val="20"/>
                <w:color w:val="auto"/>
              </w:rPr>
            </w:pPr>
            <w:r>
              <w:rPr>
                <w:rFonts w:ascii="Arial" w:cs="Arial" w:eastAsia="Arial" w:hAnsi="Arial"/>
                <w:sz w:val="18"/>
                <w:szCs w:val="18"/>
                <w:color w:val="auto"/>
                <w:w w:val="90"/>
              </w:rPr>
              <w:t>Edmund L. Quatmann, Jr.</w:t>
            </w:r>
          </w:p>
        </w:tc>
        <w:tc>
          <w:tcPr>
            <w:tcW w:w="1740" w:type="dxa"/>
            <w:vAlign w:val="bottom"/>
            <w:tcBorders>
              <w:bottom w:val="single" w:sz="8" w:color="auto"/>
            </w:tcBorders>
            <w:shd w:val="clear" w:color="auto" w:fill="F7A800"/>
          </w:tcPr>
          <w:p>
            <w:pPr>
              <w:jc w:val="right"/>
              <w:spacing w:after="0"/>
              <w:rPr>
                <w:sz w:val="20"/>
                <w:szCs w:val="20"/>
                <w:color w:val="auto"/>
              </w:rPr>
            </w:pPr>
            <w:r>
              <w:rPr>
                <w:rFonts w:ascii="Arial" w:cs="Arial" w:eastAsia="Arial" w:hAnsi="Arial"/>
                <w:sz w:val="18"/>
                <w:szCs w:val="18"/>
                <w:color w:val="auto"/>
              </w:rPr>
              <w:t>6,704</w:t>
            </w:r>
          </w:p>
        </w:tc>
        <w:tc>
          <w:tcPr>
            <w:tcW w:w="100" w:type="dxa"/>
            <w:vAlign w:val="bottom"/>
            <w:tcBorders>
              <w:bottom w:val="single" w:sz="8" w:color="auto"/>
              <w:right w:val="single" w:sz="8" w:color="auto"/>
            </w:tcBorders>
            <w:shd w:val="clear" w:color="auto" w:fill="F7A800"/>
          </w:tcPr>
          <w:p>
            <w:pPr>
              <w:spacing w:after="0"/>
              <w:rPr>
                <w:sz w:val="20"/>
                <w:szCs w:val="20"/>
                <w:color w:val="auto"/>
              </w:rPr>
            </w:pPr>
          </w:p>
        </w:tc>
        <w:tc>
          <w:tcPr>
            <w:tcW w:w="1920" w:type="dxa"/>
            <w:vAlign w:val="bottom"/>
            <w:tcBorders>
              <w:bottom w:val="single" w:sz="8" w:color="auto"/>
              <w:right w:val="single" w:sz="8" w:color="auto"/>
            </w:tcBorders>
            <w:shd w:val="clear" w:color="auto" w:fill="F7A800"/>
          </w:tcPr>
          <w:p>
            <w:pPr>
              <w:jc w:val="right"/>
              <w:ind w:right="114"/>
              <w:spacing w:after="0"/>
              <w:rPr>
                <w:sz w:val="20"/>
                <w:szCs w:val="20"/>
                <w:color w:val="auto"/>
              </w:rPr>
            </w:pPr>
            <w:r>
              <w:rPr>
                <w:rFonts w:ascii="Arial" w:cs="Arial" w:eastAsia="Arial" w:hAnsi="Arial"/>
                <w:sz w:val="18"/>
                <w:szCs w:val="18"/>
                <w:color w:val="auto"/>
              </w:rPr>
              <w:t>7,374</w:t>
            </w:r>
          </w:p>
        </w:tc>
      </w:tr>
      <w:tr>
        <w:trPr>
          <w:trHeight w:val="135"/>
        </w:trPr>
        <w:tc>
          <w:tcPr>
            <w:tcW w:w="9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Pr>
          <w:p>
            <w:pPr>
              <w:spacing w:after="0"/>
              <w:rPr>
                <w:sz w:val="11"/>
                <w:szCs w:val="11"/>
                <w:color w:val="auto"/>
              </w:rPr>
            </w:pPr>
          </w:p>
        </w:tc>
      </w:tr>
    </w:tbl>
    <w:p>
      <w:pPr>
        <w:spacing w:after="0" w:line="26" w:lineRule="exact"/>
        <w:rPr>
          <w:sz w:val="20"/>
          <w:szCs w:val="20"/>
          <w:color w:val="auto"/>
        </w:rPr>
      </w:pPr>
    </w:p>
    <w:p>
      <w:pPr>
        <w:ind w:left="540" w:right="140" w:hanging="424"/>
        <w:spacing w:after="0" w:line="342"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2018 PSUs at 110.0% of target payout level based upon the average of our performance in 2018 at 137.5% and 2019 at 82.5% valued at $59.64 per share, which was our closing stock price as of December 31, 2019. These PSUs are eligible to vest on January 1, 2021.</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order to provide continuity and stability in leadership, we have entered into employment agreements with each of our named executive officers. There are a number of strategic objectives that we expect to achieve by entering into employment agreements with our named executive officers, including: attracting talented executives; intending to limit potential liability from the termination of executives by paying severance in consideration for a release of claims in the event that we elect to terminate the executive without cause; providing an effective retention mechanism; and providing effective and comprehensive protection of our strategic plans, intellectual property and human capital.</w:t>
      </w:r>
    </w:p>
    <w:p>
      <w:pPr>
        <w:spacing w:after="0" w:line="17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Please see “</w:t>
      </w:r>
      <w:r>
        <w:rPr>
          <w:rFonts w:ascii="Arial" w:cs="Arial" w:eastAsia="Arial" w:hAnsi="Arial"/>
          <w:sz w:val="18"/>
          <w:szCs w:val="18"/>
          <w:b w:val="1"/>
          <w:bCs w:val="1"/>
          <w:i w:val="1"/>
          <w:iCs w:val="1"/>
          <w:color w:val="auto"/>
        </w:rPr>
        <w:t>Potential Payments Upon Termination or Change in Control</w:t>
      </w:r>
      <w:r>
        <w:rPr>
          <w:rFonts w:ascii="Arial" w:cs="Arial" w:eastAsia="Arial" w:hAnsi="Arial"/>
          <w:sz w:val="18"/>
          <w:szCs w:val="18"/>
          <w:color w:val="auto"/>
        </w:rPr>
        <w:t>” for more information on the amounts to which each named executive officer is entitled in the event that his employment is terminated.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Retirement and Benefit Programs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named executive officers are eligible to participate in various benefit plans, including 401(k), health insurance, life insurance and short and long-term disability plans that are generally available to all salaried employees.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Perquisites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It is our intent to continually assess business needs and evolving market practices to ensure that perquisite offerings are competitive and in the best interest of our stockholders. For more information on perquisites, see the footnotes to the “All Other Compensation” column of the Summary Compensation Table. The named executive officer employment agreements provide for perquisites consisting of financial planning and tax preparation fees of $6,750 ($10,000 for Mr. Gary L. Carano) per year, and an annual executive physical of up to $3,000. Effective January 1, 2018, in conjunction with a competitive review of our health and welfare benefit arrangements, we began paying short and long-term disability and life insurance premiums for the named executive officers.</w:t>
      </w:r>
    </w:p>
    <w:p>
      <w:pPr>
        <w:spacing w:after="0" w:line="192"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Certain executive officers, as designated by the Chief Executive Officer, are approved to use the aircraft we lease through an arrangement with NetJets, Inc. for personal travel on a limited basis. The Board believes this limited benefit is an appropriate method to provide the executive officers with an occasional convenient way to integrate work and personal responsibilities.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As an owner and operator of full-service hotels, we are able to provide certain perquisites relating to hotel and hotel-related services to the NEOs at little or no additional cost to us.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Grant Practices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Compensation Committee’s procedure for timing of equity awards helps to provide assurance that grants are not timed to result in favorable pricing for executives. Generally, equity awards are granted by the Compensation Committee as a dollar value from which the number of shares awarded is determined based on the prior 20-day average stock price. Board and committee meeting schedules and award decisions are made without regard to the timing of our SEC filings or press releases. Annual equity awards are generally granted on the 4</w:t>
      </w:r>
      <w:r>
        <w:rPr>
          <w:rFonts w:ascii="Arial" w:cs="Arial" w:eastAsia="Arial" w:hAnsi="Arial"/>
          <w:sz w:val="15"/>
          <w:szCs w:val="15"/>
          <w:color w:val="auto"/>
        </w:rPr>
        <w:t>th</w:t>
      </w:r>
      <w:r>
        <w:rPr>
          <w:rFonts w:ascii="Arial" w:cs="Arial" w:eastAsia="Arial" w:hAnsi="Arial"/>
          <w:sz w:val="18"/>
          <w:szCs w:val="18"/>
          <w:color w:val="auto"/>
        </w:rPr>
        <w:t xml:space="preserve"> Friday in January and non-annual awards are generally granted on the date approved by the Compensation Committee or, in the case of new hires, pursuant to the terms of an employment agreement.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Compensation Committee and the Board encourage executives to implement our business strategies and initiatives from the perspective of a shareholder and, to this end, encourage executives to maintain a meaningful equity stake in the Company. To that end, we maintain the following minimum stock ownership guidelines for our named executive officers:</w:t>
      </w:r>
    </w:p>
    <w:p>
      <w:pPr>
        <w:spacing w:after="0" w:line="205" w:lineRule="exact"/>
        <w:rPr>
          <w:sz w:val="20"/>
          <w:szCs w:val="20"/>
          <w:color w:val="auto"/>
        </w:rPr>
      </w:pPr>
    </w:p>
    <w:tbl>
      <w:tblPr>
        <w:tblLayout w:type="fixed"/>
        <w:tblInd w:w="1890" w:type="dxa"/>
        <w:tblCellMar>
          <w:top w:w="0" w:type="dxa"/>
          <w:left w:w="0" w:type="dxa"/>
          <w:bottom w:w="0" w:type="dxa"/>
          <w:right w:w="0" w:type="dxa"/>
        </w:tblCellMar>
      </w:tblPr>
      <w:tr>
        <w:trPr>
          <w:trHeight w:val="262"/>
        </w:trPr>
        <w:tc>
          <w:tcPr>
            <w:tcW w:w="4740" w:type="dxa"/>
            <w:vAlign w:val="bottom"/>
            <w:tcBorders>
              <w:top w:val="single" w:sz="8" w:color="auto"/>
              <w:left w:val="single" w:sz="8" w:color="auto"/>
              <w:bottom w:val="single" w:sz="8" w:color="F7A800"/>
              <w:right w:val="single" w:sz="8" w:color="auto"/>
            </w:tcBorders>
            <w:shd w:val="clear" w:color="auto" w:fill="F7A800"/>
          </w:tcPr>
          <w:p>
            <w:pPr>
              <w:jc w:val="center"/>
              <w:ind w:left="75"/>
              <w:spacing w:after="0"/>
              <w:rPr>
                <w:sz w:val="20"/>
                <w:szCs w:val="20"/>
                <w:color w:val="auto"/>
              </w:rPr>
            </w:pPr>
            <w:r>
              <w:rPr>
                <w:rFonts w:ascii="Arial" w:cs="Arial" w:eastAsia="Arial" w:hAnsi="Arial"/>
                <w:sz w:val="14"/>
                <w:szCs w:val="14"/>
                <w:b w:val="1"/>
                <w:bCs w:val="1"/>
                <w:color w:val="auto"/>
                <w:w w:val="90"/>
              </w:rPr>
              <w:t>Position</w:t>
            </w:r>
          </w:p>
        </w:tc>
        <w:tc>
          <w:tcPr>
            <w:tcW w:w="2760" w:type="dxa"/>
            <w:vAlign w:val="bottom"/>
            <w:tcBorders>
              <w:top w:val="single" w:sz="8" w:color="auto"/>
              <w:bottom w:val="single" w:sz="8" w:color="F7A800"/>
              <w:right w:val="single" w:sz="8" w:color="auto"/>
            </w:tcBorders>
            <w:shd w:val="clear" w:color="auto" w:fill="F7A800"/>
          </w:tcPr>
          <w:p>
            <w:pPr>
              <w:ind w:left="660"/>
              <w:spacing w:after="0"/>
              <w:rPr>
                <w:sz w:val="20"/>
                <w:szCs w:val="20"/>
                <w:color w:val="auto"/>
              </w:rPr>
            </w:pPr>
            <w:r>
              <w:rPr>
                <w:rFonts w:ascii="Arial" w:cs="Arial" w:eastAsia="Arial" w:hAnsi="Arial"/>
                <w:sz w:val="14"/>
                <w:szCs w:val="14"/>
                <w:b w:val="1"/>
                <w:bCs w:val="1"/>
                <w:color w:val="auto"/>
              </w:rPr>
              <w:t>Multiple of Base Salary</w:t>
            </w:r>
          </w:p>
        </w:tc>
      </w:tr>
      <w:tr>
        <w:trPr>
          <w:trHeight w:val="230"/>
        </w:trPr>
        <w:tc>
          <w:tcPr>
            <w:tcW w:w="4740" w:type="dxa"/>
            <w:vAlign w:val="bottom"/>
            <w:tcBorders>
              <w:top w:val="single" w:sz="8" w:color="auto"/>
              <w:left w:val="single" w:sz="8" w:color="auto"/>
              <w:bottom w:val="single" w:sz="8" w:color="auto"/>
              <w:right w:val="single" w:sz="8" w:color="auto"/>
            </w:tcBorders>
            <w:shd w:val="clear" w:color="auto" w:fill="F7A800"/>
          </w:tcPr>
          <w:p>
            <w:pPr>
              <w:jc w:val="center"/>
              <w:ind w:left="55"/>
              <w:spacing w:after="0"/>
              <w:rPr>
                <w:sz w:val="20"/>
                <w:szCs w:val="20"/>
                <w:color w:val="auto"/>
              </w:rPr>
            </w:pPr>
            <w:r>
              <w:rPr>
                <w:rFonts w:ascii="Arial" w:cs="Arial" w:eastAsia="Arial" w:hAnsi="Arial"/>
                <w:sz w:val="18"/>
                <w:szCs w:val="18"/>
                <w:color w:val="auto"/>
                <w:w w:val="92"/>
              </w:rPr>
              <w:t>CEO</w:t>
            </w:r>
          </w:p>
        </w:tc>
        <w:tc>
          <w:tcPr>
            <w:tcW w:w="2760" w:type="dxa"/>
            <w:vAlign w:val="bottom"/>
            <w:tcBorders>
              <w:top w:val="single" w:sz="8" w:color="auto"/>
              <w:bottom w:val="single" w:sz="8" w:color="auto"/>
              <w:right w:val="single" w:sz="8" w:color="auto"/>
            </w:tcBorders>
            <w:shd w:val="clear" w:color="auto" w:fill="F7A800"/>
          </w:tcPr>
          <w:p>
            <w:pPr>
              <w:ind w:left="1260"/>
              <w:spacing w:after="0"/>
              <w:rPr>
                <w:sz w:val="20"/>
                <w:szCs w:val="20"/>
                <w:color w:val="auto"/>
              </w:rPr>
            </w:pPr>
            <w:r>
              <w:rPr>
                <w:rFonts w:ascii="Arial" w:cs="Arial" w:eastAsia="Arial" w:hAnsi="Arial"/>
                <w:sz w:val="18"/>
                <w:szCs w:val="18"/>
                <w:color w:val="auto"/>
              </w:rPr>
              <w:t>5x</w:t>
            </w:r>
          </w:p>
        </w:tc>
      </w:tr>
      <w:tr>
        <w:trPr>
          <w:trHeight w:val="237"/>
        </w:trPr>
        <w:tc>
          <w:tcPr>
            <w:tcW w:w="4740" w:type="dxa"/>
            <w:vAlign w:val="bottom"/>
            <w:tcBorders>
              <w:left w:val="single" w:sz="8" w:color="auto"/>
              <w:bottom w:val="single" w:sz="8" w:color="auto"/>
              <w:right w:val="single" w:sz="8" w:color="auto"/>
            </w:tcBorders>
            <w:shd w:val="clear" w:color="auto" w:fill="F7A800"/>
          </w:tcPr>
          <w:p>
            <w:pPr>
              <w:jc w:val="center"/>
              <w:ind w:left="75"/>
              <w:spacing w:after="0"/>
              <w:rPr>
                <w:sz w:val="20"/>
                <w:szCs w:val="20"/>
                <w:color w:val="auto"/>
              </w:rPr>
            </w:pPr>
            <w:r>
              <w:rPr>
                <w:rFonts w:ascii="Arial" w:cs="Arial" w:eastAsia="Arial" w:hAnsi="Arial"/>
                <w:sz w:val="18"/>
                <w:szCs w:val="18"/>
                <w:color w:val="auto"/>
                <w:w w:val="92"/>
              </w:rPr>
              <w:t>COO</w:t>
            </w:r>
          </w:p>
        </w:tc>
        <w:tc>
          <w:tcPr>
            <w:tcW w:w="2760" w:type="dxa"/>
            <w:vAlign w:val="bottom"/>
            <w:tcBorders>
              <w:bottom w:val="single" w:sz="8" w:color="auto"/>
              <w:right w:val="single" w:sz="8" w:color="auto"/>
            </w:tcBorders>
            <w:shd w:val="clear" w:color="auto" w:fill="F7A800"/>
          </w:tcPr>
          <w:p>
            <w:pPr>
              <w:ind w:left="1260"/>
              <w:spacing w:after="0"/>
              <w:rPr>
                <w:sz w:val="20"/>
                <w:szCs w:val="20"/>
                <w:color w:val="auto"/>
              </w:rPr>
            </w:pPr>
            <w:r>
              <w:rPr>
                <w:rFonts w:ascii="Arial" w:cs="Arial" w:eastAsia="Arial" w:hAnsi="Arial"/>
                <w:sz w:val="18"/>
                <w:szCs w:val="18"/>
                <w:color w:val="auto"/>
              </w:rPr>
              <w:t>4x</w:t>
            </w:r>
          </w:p>
        </w:tc>
      </w:tr>
      <w:tr>
        <w:trPr>
          <w:trHeight w:val="236"/>
        </w:trPr>
        <w:tc>
          <w:tcPr>
            <w:tcW w:w="4740" w:type="dxa"/>
            <w:vAlign w:val="bottom"/>
            <w:tcBorders>
              <w:left w:val="single" w:sz="8" w:color="auto"/>
              <w:bottom w:val="single" w:sz="8" w:color="auto"/>
              <w:right w:val="single" w:sz="8" w:color="auto"/>
            </w:tcBorders>
            <w:shd w:val="clear" w:color="auto" w:fill="F7A800"/>
          </w:tcPr>
          <w:p>
            <w:pPr>
              <w:jc w:val="center"/>
              <w:ind w:left="75"/>
              <w:spacing w:after="0"/>
              <w:rPr>
                <w:sz w:val="20"/>
                <w:szCs w:val="20"/>
                <w:color w:val="auto"/>
              </w:rPr>
            </w:pPr>
            <w:r>
              <w:rPr>
                <w:rFonts w:ascii="Arial" w:cs="Arial" w:eastAsia="Arial" w:hAnsi="Arial"/>
                <w:sz w:val="18"/>
                <w:szCs w:val="18"/>
                <w:color w:val="auto"/>
                <w:w w:val="91"/>
              </w:rPr>
              <w:t>Other NEOs</w:t>
            </w:r>
          </w:p>
        </w:tc>
        <w:tc>
          <w:tcPr>
            <w:tcW w:w="2760" w:type="dxa"/>
            <w:vAlign w:val="bottom"/>
            <w:tcBorders>
              <w:bottom w:val="single" w:sz="8" w:color="auto"/>
              <w:right w:val="single" w:sz="8" w:color="auto"/>
            </w:tcBorders>
            <w:shd w:val="clear" w:color="auto" w:fill="F7A800"/>
          </w:tcPr>
          <w:p>
            <w:pPr>
              <w:ind w:left="1260"/>
              <w:spacing w:after="0"/>
              <w:rPr>
                <w:sz w:val="20"/>
                <w:szCs w:val="20"/>
                <w:color w:val="auto"/>
              </w:rPr>
            </w:pPr>
            <w:r>
              <w:rPr>
                <w:rFonts w:ascii="Arial" w:cs="Arial" w:eastAsia="Arial" w:hAnsi="Arial"/>
                <w:sz w:val="18"/>
                <w:szCs w:val="18"/>
                <w:color w:val="auto"/>
              </w:rPr>
              <w:t>2x</w:t>
            </w:r>
          </w:p>
        </w:tc>
      </w:tr>
    </w:tbl>
    <w:p>
      <w:pPr>
        <w:spacing w:after="0" w:line="202"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Each of the executive officers have until the later of five years from implementation of the stock ownership guidelines or five years from the executive’s date of hire or promotion to a new role to achieve his minimum stock ownership. Once achieved, the Board expects the NEOs to comply with the applicable minimum stock ownership guideline for as long as they are subject to the guidelines.</w:t>
      </w:r>
    </w:p>
    <w:p>
      <w:pPr>
        <w:spacing w:after="0" w:line="184" w:lineRule="exact"/>
        <w:rPr>
          <w:sz w:val="20"/>
          <w:szCs w:val="20"/>
          <w:color w:val="auto"/>
        </w:rPr>
      </w:pPr>
    </w:p>
    <w:p>
      <w:pPr>
        <w:ind w:left="120" w:right="340" w:firstLine="440"/>
        <w:spacing w:after="0" w:line="293" w:lineRule="auto"/>
        <w:rPr>
          <w:sz w:val="20"/>
          <w:szCs w:val="20"/>
          <w:color w:val="auto"/>
        </w:rPr>
      </w:pPr>
      <w:r>
        <w:rPr>
          <w:rFonts w:ascii="Arial" w:cs="Arial" w:eastAsia="Arial" w:hAnsi="Arial"/>
          <w:sz w:val="16"/>
          <w:szCs w:val="16"/>
          <w:color w:val="auto"/>
        </w:rPr>
        <w:t>In addition, we have minimum stock ownership guidelines for our non-employee directors. The stock ownership guidelines require our non-employee directors to hold shares of our common stock with a minimum value equal to 5x the director’s annual cash-base retainer fee. Prior to achievement of the minimum stock ownership guideline, RSU grants will vest immediately; however, settlement will be mandatorily deferred until termination of Board service. After minimum stock ownership is achieved, unless the director voluntarily elects to defer settlement of the RSUs, the RSUs will vest and be settled immediately at the time of grant. Non-employee directors have five years to achieve their minimum stock ownership. Once achieved, the Board expects non-employee directors to maintain their stated guideline for as long as they are subject to the guidelines.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Clawback/Recoupment</w:t>
      </w:r>
    </w:p>
    <w:p>
      <w:pPr>
        <w:spacing w:after="0" w:line="11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Pursuant to the terms of our Clawback and Recoupment Policy, in the event of an accounting restatement of our financial statements due to a material noncompliance with any financial reporting requirements under any applicable security law(s), our Board may require an executive officer to reimburse, repay or forfeit any excess incentive compensation paid or granted to, or received or earned by, such executive officer during the three-year period preceding the publication of the restatement. In each instance, our Board, in its reasonable business judgment, will determine whether and the extent to which to pursue such reimbursement, repayment or forfeiture from each such executive officer based on those factors that our Board believes to be reasonable and appropriate.</w:t>
      </w:r>
    </w:p>
    <w:p>
      <w:pPr>
        <w:spacing w:after="0" w:line="19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Additionally, employment agreements with our NEOs provide that we may recover compensation that is subject to recovery under, or required to be recovered by, applicable law, government regulation or stock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exchange listing requirements. Further, the award agreements governing equity awards granted to our executive officers under our long-term incentive plan provide for recoupment of those awards in accordance with or as required by applicable government regulation, stock exchange listing requirements, or other applicable law, or pursuant to any applicable clawback policy of ours, including our Clawback and Recoupment Policy described above.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Risk Assessment</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It is the responsibility of the Compensation Committee to review our policies and practices related to compensation in the context of their potential encouragement of excessive risk-taking behavior. The Compensation Committee has worked closely with Aon to design a performance-based compensation system that supports our objective to align stockholder and management interests, supports our strategic business plan, and mitigates the possibility of executives taking unnecessary or excessive risks that would adversely impact us. The following factors mitigate the risk associated with our compensation programs:</w:t>
      </w:r>
    </w:p>
    <w:p>
      <w:pPr>
        <w:spacing w:after="0" w:line="93" w:lineRule="exact"/>
        <w:rPr>
          <w:sz w:val="20"/>
          <w:szCs w:val="20"/>
          <w:color w:val="auto"/>
        </w:rPr>
      </w:pPr>
    </w:p>
    <w:p>
      <w:pPr>
        <w:ind w:left="1080" w:right="3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Compensation Committee approves and, in some instances, the Board ratifies, short and long-term performance objectives for our incentive plans, which we believe are appropriately aligned with stockholder value;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Compensation Committee’s discretion to modify final payouts under both short and long-term incentive plans;</w:t>
      </w:r>
    </w:p>
    <w:p>
      <w:pPr>
        <w:spacing w:after="0" w:line="130" w:lineRule="exact"/>
        <w:rPr>
          <w:rFonts w:ascii="Arial" w:cs="Arial" w:eastAsia="Arial" w:hAnsi="Arial"/>
          <w:sz w:val="18"/>
          <w:szCs w:val="18"/>
          <w:color w:val="auto"/>
        </w:rPr>
      </w:pPr>
    </w:p>
    <w:p>
      <w:pPr>
        <w:ind w:left="1080" w:right="240" w:hanging="424"/>
        <w:spacing w:after="0" w:line="34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use of company-wide performance metrics for both the short and long-term incentive programs ensures that no single executive has complete and direct influence over outcomes, encouraging decision making that is in the best long-term interest of stockholders;</w:t>
      </w:r>
    </w:p>
    <w:p>
      <w:pPr>
        <w:spacing w:after="0" w:line="29" w:lineRule="exact"/>
        <w:rPr>
          <w:rFonts w:ascii="Arial" w:cs="Arial" w:eastAsia="Arial" w:hAnsi="Arial"/>
          <w:sz w:val="16"/>
          <w:szCs w:val="16"/>
          <w:color w:val="auto"/>
        </w:rPr>
      </w:pPr>
    </w:p>
    <w:p>
      <w:pPr>
        <w:ind w:left="1080" w:right="2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use of equity and cash opportunities with vesting periods to foster retention and alignment of our executives’ interests with those of our stockholders;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Capping the potential payouts under both short and long-term incentive plans to eliminate the potential for any windfalls; and</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use of competitive general and change-in-control severance arrangements help to ensure that employees continue to work toward the stockholders’ best interests in light of potential employment uncertainty.</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Based on a review of these factors, the Compensation Committee believes that its current compensation policies and practices are not reasonably likely to have a material adverse effect on the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Tax and Accounting Considerations – Section162(m)</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Under Section 162(m), the Company is generally prohibited from deducting certain forms of compensation in excess of $1,000,000 paid to our “covered employees” as defined in Section 162(m) which, prior to its amendment, included our CEO and three other most highly compensated executive officers (other than the CFO). An exception to this $1,000,000 deduction limitation was available with respect to compensation that qualified as “performance-based compensation” under Section 162(m), which required compliance with certain requirements set forth in Section 162(m) and the applicable regulations.</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a result of the Tax Cuts and Jobs Act that went into effect on December 22, 2017, this exception for performance-based compensation is no longer available for taxable years beginning after December 31, 2017, unless such compensation qualifies for certain transition relief contemplated in the legislation for certain written contracts in place as of November 2, 2017. Therefore, certain compensation paid to our covered employees in the future that may have originally been designed with the intent that such amounts qualify as performance-based compensation will not be deductible unless such plans are determined to qualify for transition relief. Because of ambiguities and uncertainties as to the scope of the transition relief available, no assurances with respect to the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deductibility of such compensation can be made. In addition, beginning in 2018, the definition of “covered employees” will include any individual who served as the CEO or CFO at any time during the taxable year and the three other most highly compensated officers (other than the CEO and CFO) for the taxable year, and once an individual becomes a covered employee for any taxable year beginning after December 31, 2016, that individual will remain a covered employee for all future years.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Compensation Committee continues to retain the discretion not to limit executive compensation to the amount deductible under</w:t>
      </w:r>
    </w:p>
    <w:p>
      <w:pPr>
        <w:spacing w:after="0" w:line="23"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Section 162(m) of the Code. The Compensation Committee may approve (and, for 2019, did approve) compensation that will not be deductible in order to ensure competitive levels of total compensation for the named executive officers, or for other reasons, if the Compensation Committee determines it is in the best interests of the Company to do so.</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Our Compensation Committee is composed of four independent directors, each of whom meets the independence requirements of NASDAQ listing standards and the rules and regulations of the SEC. The Compensation Committee has reviewed and discussed the CD&amp;A section of this Proxy Statement with management. Based on such review and discussion, the Compensation Committee has recommended to the Board that the CD&amp;A section be included in this Proxy Statement.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COMPENSATION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James B. Hawkins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Gregory J. Kozicz</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Michael E. Pegram</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Roger P. Wagner</w:t>
      </w:r>
    </w:p>
    <w:p>
      <w:pPr>
        <w:spacing w:after="0" w:line="21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Notwithstanding anything to the contrary herein, the report of the Compensation Committee included in this Proxy Statement shall not be deemed incorporated by reference by any general statement incorporating by reference this Proxy Statement into any filing under the Securities Act of 1933, as amended, or under the Exchange Act, except to the extent the Company specifically incorporates this information by reference, and shall not otherwise be deemed filed under such acts.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60"/>
          </w:cols>
          <w:pgMar w:left="320" w:top="459"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following table summarizes the total compensation paid to or earned by each of our named executive officers for the fiscal years ended December 31, 2017, 2018 and 2019, and reflects positions held on December 31,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Non-Equity</w:t>
            </w: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2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Salary ($)</w:t>
            </w: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u w:val="single" w:color="auto"/>
                <w:color w:val="auto"/>
              </w:rPr>
              <w:t>Bonus($</w:t>
            </w:r>
            <w:r>
              <w:rPr>
                <w:rFonts w:ascii="Arial" w:cs="Arial" w:eastAsia="Arial" w:hAnsi="Arial"/>
                <w:sz w:val="14"/>
                <w:szCs w:val="14"/>
                <w:b w:val="1"/>
                <w:bCs w:val="1"/>
                <w:color w:val="auto"/>
              </w:rPr>
              <w:t>)(1)</w:t>
            </w:r>
          </w:p>
        </w:tc>
        <w:tc>
          <w:tcPr>
            <w:tcW w:w="1060" w:type="dxa"/>
            <w:vAlign w:val="bottom"/>
            <w:gridSpan w:val="2"/>
            <w:vMerge w:val="continue"/>
          </w:tcPr>
          <w:p>
            <w:pPr>
              <w:spacing w:after="0"/>
              <w:rPr>
                <w:sz w:val="12"/>
                <w:szCs w:val="12"/>
                <w:color w:val="auto"/>
              </w:rPr>
            </w:pPr>
          </w:p>
        </w:tc>
        <w:tc>
          <w:tcPr>
            <w:tcW w:w="14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3"/>
              </w:rPr>
              <w:t>Incentive Plan</w:t>
            </w:r>
          </w:p>
        </w:tc>
        <w:tc>
          <w:tcPr>
            <w:tcW w:w="1480" w:type="dxa"/>
            <w:vAlign w:val="bottom"/>
            <w:gridSpan w:val="2"/>
            <w:vMerge w:val="continue"/>
          </w:tcPr>
          <w:p>
            <w:pPr>
              <w:spacing w:after="0"/>
              <w:rPr>
                <w:sz w:val="12"/>
                <w:szCs w:val="12"/>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2"/>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Principal Position</w:t>
            </w:r>
          </w:p>
        </w:tc>
        <w:tc>
          <w:tcPr>
            <w:tcW w:w="218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u w:val="single" w:color="auto"/>
                <w:color w:val="auto"/>
                <w:w w:val="91"/>
              </w:rPr>
              <w:t>Awards($</w:t>
            </w:r>
            <w:r>
              <w:rPr>
                <w:rFonts w:ascii="Arial" w:cs="Arial" w:eastAsia="Arial" w:hAnsi="Arial"/>
                <w:sz w:val="14"/>
                <w:szCs w:val="14"/>
                <w:b w:val="1"/>
                <w:bCs w:val="1"/>
                <w:color w:val="auto"/>
                <w:w w:val="91"/>
              </w:rPr>
              <w:t>)(2)</w:t>
            </w: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u w:val="single" w:color="auto"/>
                <w:color w:val="auto"/>
                <w:w w:val="92"/>
              </w:rPr>
              <w:t>Compensation($</w:t>
            </w:r>
            <w:r>
              <w:rPr>
                <w:rFonts w:ascii="Arial" w:cs="Arial" w:eastAsia="Arial" w:hAnsi="Arial"/>
                <w:sz w:val="14"/>
                <w:szCs w:val="14"/>
                <w:b w:val="1"/>
                <w:bCs w:val="1"/>
                <w:color w:val="auto"/>
                <w:w w:val="92"/>
              </w:rPr>
              <w:t>)(3)</w:t>
            </w: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u w:val="single" w:color="auto"/>
                <w:color w:val="auto"/>
                <w:w w:val="92"/>
              </w:rPr>
              <w:t>Compensation($</w:t>
            </w:r>
            <w:r>
              <w:rPr>
                <w:rFonts w:ascii="Arial" w:cs="Arial" w:eastAsia="Arial" w:hAnsi="Arial"/>
                <w:sz w:val="14"/>
                <w:szCs w:val="14"/>
                <w:b w:val="1"/>
                <w:bCs w:val="1"/>
                <w:color w:val="auto"/>
                <w:w w:val="92"/>
              </w:rPr>
              <w:t>)(4)</w:t>
            </w: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Gary L. Carano</w:t>
            </w: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2019</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1,100,000</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2,762,932</w:t>
            </w:r>
          </w:p>
        </w:tc>
        <w:tc>
          <w:tcPr>
            <w:tcW w:w="2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1,134,375</w:t>
            </w: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51,301</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5,048,598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Executive Chairman</w:t>
            </w: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2018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1,100,000</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2,530,000</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1,890,625</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67,768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5,588,393</w:t>
            </w:r>
          </w:p>
        </w:tc>
        <w:tc>
          <w:tcPr>
            <w:tcW w:w="0" w:type="dxa"/>
            <w:vAlign w:val="bottom"/>
          </w:tcPr>
          <w:p>
            <w:pPr>
              <w:spacing w:after="0"/>
              <w:rPr>
                <w:sz w:val="1"/>
                <w:szCs w:val="1"/>
                <w:color w:val="auto"/>
              </w:rPr>
            </w:pPr>
          </w:p>
        </w:tc>
      </w:tr>
      <w:tr>
        <w:trPr>
          <w:trHeight w:val="229"/>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of the Board</w:t>
            </w:r>
          </w:p>
        </w:tc>
        <w:tc>
          <w:tcPr>
            <w:tcW w:w="1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2017</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950,000</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1,900,000</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1,102,000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7,660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3,959,660</w:t>
            </w:r>
          </w:p>
        </w:tc>
        <w:tc>
          <w:tcPr>
            <w:tcW w:w="0" w:type="dxa"/>
            <w:vAlign w:val="bottom"/>
          </w:tcPr>
          <w:p>
            <w:pPr>
              <w:spacing w:after="0"/>
              <w:rPr>
                <w:sz w:val="1"/>
                <w:szCs w:val="1"/>
                <w:color w:val="auto"/>
              </w:rPr>
            </w:pPr>
          </w:p>
        </w:tc>
      </w:tr>
      <w:tr>
        <w:trPr>
          <w:trHeight w:val="310"/>
        </w:trPr>
        <w:tc>
          <w:tcPr>
            <w:tcW w:w="3280" w:type="dxa"/>
            <w:vAlign w:val="bottom"/>
            <w:gridSpan w:val="3"/>
          </w:tcPr>
          <w:p>
            <w:pPr>
              <w:spacing w:after="0"/>
              <w:rPr>
                <w:sz w:val="20"/>
                <w:szCs w:val="20"/>
                <w:color w:val="auto"/>
              </w:rPr>
            </w:pPr>
            <w:r>
              <w:rPr>
                <w:rFonts w:ascii="Arial" w:cs="Arial" w:eastAsia="Arial" w:hAnsi="Arial"/>
                <w:sz w:val="18"/>
                <w:szCs w:val="18"/>
                <w:color w:val="auto"/>
              </w:rPr>
              <w:t>Thomas R. Reeg</w:t>
            </w:r>
          </w:p>
        </w:tc>
        <w:tc>
          <w:tcPr>
            <w:tcW w:w="840" w:type="dxa"/>
            <w:vAlign w:val="bottom"/>
            <w:gridSpan w:val="4"/>
          </w:tcPr>
          <w:p>
            <w:pPr>
              <w:ind w:left="240"/>
              <w:spacing w:after="0"/>
              <w:rPr>
                <w:sz w:val="20"/>
                <w:szCs w:val="20"/>
                <w:color w:val="auto"/>
              </w:rPr>
            </w:pPr>
            <w:r>
              <w:rPr>
                <w:rFonts w:ascii="Arial" w:cs="Arial" w:eastAsia="Arial" w:hAnsi="Arial"/>
                <w:sz w:val="18"/>
                <w:szCs w:val="18"/>
                <w:color w:val="auto"/>
              </w:rPr>
              <w:t>2019</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1,600,000</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5,241,926</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1,980,000</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67,768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8,899,694</w:t>
            </w:r>
          </w:p>
        </w:tc>
        <w:tc>
          <w:tcPr>
            <w:tcW w:w="0" w:type="dxa"/>
            <w:vAlign w:val="bottom"/>
          </w:tcPr>
          <w:p>
            <w:pPr>
              <w:spacing w:after="0"/>
              <w:rPr>
                <w:sz w:val="1"/>
                <w:szCs w:val="1"/>
                <w:color w:val="auto"/>
              </w:rPr>
            </w:pPr>
          </w:p>
        </w:tc>
      </w:tr>
      <w:tr>
        <w:trPr>
          <w:trHeight w:val="216"/>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Chief Executive Officer</w:t>
            </w:r>
          </w:p>
        </w:tc>
        <w:tc>
          <w:tcPr>
            <w:tcW w:w="840" w:type="dxa"/>
            <w:vAlign w:val="bottom"/>
            <w:gridSpan w:val="4"/>
          </w:tcPr>
          <w:p>
            <w:pPr>
              <w:ind w:left="240"/>
              <w:spacing w:after="0"/>
              <w:rPr>
                <w:sz w:val="20"/>
                <w:szCs w:val="20"/>
                <w:color w:val="auto"/>
              </w:rPr>
            </w:pPr>
            <w:r>
              <w:rPr>
                <w:rFonts w:ascii="Arial" w:cs="Arial" w:eastAsia="Arial" w:hAnsi="Arial"/>
                <w:sz w:val="18"/>
                <w:szCs w:val="18"/>
                <w:color w:val="auto"/>
              </w:rPr>
              <w:t>2018</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900,000</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4,730,000</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1,237,500</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38,474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6,905,974</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40" w:type="dxa"/>
            <w:vAlign w:val="bottom"/>
            <w:gridSpan w:val="4"/>
          </w:tcPr>
          <w:p>
            <w:pPr>
              <w:ind w:left="240"/>
              <w:spacing w:after="0"/>
              <w:rPr>
                <w:sz w:val="20"/>
                <w:szCs w:val="20"/>
                <w:color w:val="auto"/>
              </w:rPr>
            </w:pPr>
            <w:r>
              <w:rPr>
                <w:rFonts w:ascii="Arial" w:cs="Arial" w:eastAsia="Arial" w:hAnsi="Arial"/>
                <w:sz w:val="18"/>
                <w:szCs w:val="18"/>
                <w:color w:val="auto"/>
              </w:rPr>
              <w:t>2017</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850,000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3,000,000</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3,105,000</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986,000</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3,030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7,944,030</w:t>
            </w:r>
          </w:p>
        </w:tc>
        <w:tc>
          <w:tcPr>
            <w:tcW w:w="0" w:type="dxa"/>
            <w:vAlign w:val="bottom"/>
          </w:tcPr>
          <w:p>
            <w:pPr>
              <w:spacing w:after="0"/>
              <w:rPr>
                <w:sz w:val="1"/>
                <w:szCs w:val="1"/>
                <w:color w:val="auto"/>
              </w:rPr>
            </w:pPr>
          </w:p>
        </w:tc>
      </w:tr>
      <w:tr>
        <w:trPr>
          <w:trHeight w:val="108"/>
        </w:trPr>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4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Bret Yunker</w:t>
            </w:r>
          </w:p>
        </w:tc>
        <w:tc>
          <w:tcPr>
            <w:tcW w:w="8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2019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499,315</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4,411,316</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412,500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7,081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5,330,212</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Chief Financial Officer</w:t>
            </w: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2018</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2017</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3280" w:type="dxa"/>
            <w:vAlign w:val="bottom"/>
            <w:gridSpan w:val="3"/>
          </w:tcPr>
          <w:p>
            <w:pPr>
              <w:spacing w:after="0"/>
              <w:rPr>
                <w:sz w:val="20"/>
                <w:szCs w:val="20"/>
                <w:color w:val="auto"/>
              </w:rPr>
            </w:pPr>
            <w:r>
              <w:rPr>
                <w:rFonts w:ascii="Arial" w:cs="Arial" w:eastAsia="Arial" w:hAnsi="Arial"/>
                <w:sz w:val="18"/>
                <w:szCs w:val="18"/>
                <w:color w:val="auto"/>
              </w:rPr>
              <w:t>Anthony L. Carano</w:t>
            </w:r>
          </w:p>
        </w:tc>
        <w:tc>
          <w:tcPr>
            <w:tcW w:w="840" w:type="dxa"/>
            <w:vAlign w:val="bottom"/>
            <w:gridSpan w:val="4"/>
          </w:tcPr>
          <w:p>
            <w:pPr>
              <w:ind w:left="240"/>
              <w:spacing w:after="0"/>
              <w:rPr>
                <w:sz w:val="20"/>
                <w:szCs w:val="20"/>
                <w:color w:val="auto"/>
              </w:rPr>
            </w:pPr>
            <w:r>
              <w:rPr>
                <w:rFonts w:ascii="Arial" w:cs="Arial" w:eastAsia="Arial" w:hAnsi="Arial"/>
                <w:sz w:val="18"/>
                <w:szCs w:val="18"/>
                <w:color w:val="auto"/>
              </w:rPr>
              <w:t>2019</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1,000,000</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2,184,166</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1,031,250</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38,474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4,253,900</w:t>
            </w:r>
          </w:p>
        </w:tc>
        <w:tc>
          <w:tcPr>
            <w:tcW w:w="0" w:type="dxa"/>
            <w:vAlign w:val="bottom"/>
          </w:tcPr>
          <w:p>
            <w:pPr>
              <w:spacing w:after="0"/>
              <w:rPr>
                <w:sz w:val="1"/>
                <w:szCs w:val="1"/>
                <w:color w:val="auto"/>
              </w:rPr>
            </w:pPr>
          </w:p>
        </w:tc>
      </w:tr>
      <w:tr>
        <w:trPr>
          <w:trHeight w:val="216"/>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President and Chief Operating Officer</w:t>
            </w:r>
          </w:p>
        </w:tc>
        <w:tc>
          <w:tcPr>
            <w:tcW w:w="840" w:type="dxa"/>
            <w:vAlign w:val="bottom"/>
            <w:gridSpan w:val="4"/>
          </w:tcPr>
          <w:p>
            <w:pPr>
              <w:ind w:left="240"/>
              <w:spacing w:after="0"/>
              <w:rPr>
                <w:sz w:val="20"/>
                <w:szCs w:val="20"/>
                <w:color w:val="auto"/>
              </w:rPr>
            </w:pPr>
            <w:r>
              <w:rPr>
                <w:rFonts w:ascii="Arial" w:cs="Arial" w:eastAsia="Arial" w:hAnsi="Arial"/>
                <w:sz w:val="18"/>
                <w:szCs w:val="18"/>
                <w:color w:val="auto"/>
              </w:rPr>
              <w:t>2018</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700,000</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2,875,000</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962,500</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42,905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4,580,405</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40" w:type="dxa"/>
            <w:vAlign w:val="bottom"/>
            <w:gridSpan w:val="4"/>
          </w:tcPr>
          <w:p>
            <w:pPr>
              <w:ind w:left="240"/>
              <w:spacing w:after="0"/>
              <w:rPr>
                <w:sz w:val="20"/>
                <w:szCs w:val="20"/>
                <w:color w:val="auto"/>
              </w:rPr>
            </w:pPr>
            <w:r>
              <w:rPr>
                <w:rFonts w:ascii="Arial" w:cs="Arial" w:eastAsia="Arial" w:hAnsi="Arial"/>
                <w:sz w:val="18"/>
                <w:szCs w:val="18"/>
                <w:color w:val="auto"/>
              </w:rPr>
              <w:t>2017</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575,000</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975,000</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667,000</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5,505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2,222,505</w:t>
            </w:r>
          </w:p>
        </w:tc>
        <w:tc>
          <w:tcPr>
            <w:tcW w:w="0" w:type="dxa"/>
            <w:vAlign w:val="bottom"/>
          </w:tcPr>
          <w:p>
            <w:pPr>
              <w:spacing w:after="0"/>
              <w:rPr>
                <w:sz w:val="1"/>
                <w:szCs w:val="1"/>
                <w:color w:val="auto"/>
              </w:rPr>
            </w:pPr>
          </w:p>
        </w:tc>
      </w:tr>
      <w:tr>
        <w:trPr>
          <w:trHeight w:val="108"/>
        </w:trPr>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4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Edmund L. Quatmann, Jr.</w:t>
            </w:r>
          </w:p>
        </w:tc>
        <w:tc>
          <w:tcPr>
            <w:tcW w:w="8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2019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600,000</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818,996</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371,250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42,905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1,833,151</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4"/>
              </w:rPr>
              <w:t>Exec. Vice President, Chief Legal Officer</w:t>
            </w: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2018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545,000</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436,000</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374,688</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7,081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1,362,769</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and Secretary</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350,000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200,000</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204,015</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989,116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2,243,131</w:t>
            </w:r>
          </w:p>
        </w:tc>
        <w:tc>
          <w:tcPr>
            <w:tcW w:w="0" w:type="dxa"/>
            <w:vAlign w:val="bottom"/>
          </w:tcPr>
          <w:p>
            <w:pPr>
              <w:spacing w:after="0"/>
              <w:rPr>
                <w:sz w:val="1"/>
                <w:szCs w:val="1"/>
                <w:color w:val="auto"/>
              </w:rPr>
            </w:pPr>
          </w:p>
        </w:tc>
      </w:tr>
      <w:tr>
        <w:trPr>
          <w:trHeight w:val="230"/>
        </w:trPr>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380" w:hanging="424"/>
        <w:spacing w:after="0" w:line="258"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2017, Mr. Reeg received a $3,000,000 special cash bonus in connection with the consummation of the acquisition of Isle of Capri. In 2017, Mr. Quatmann received a $500,000 cash bonus in connection with entering into his employment agreement.</w:t>
      </w:r>
    </w:p>
    <w:p>
      <w:pPr>
        <w:spacing w:after="0" w:line="1" w:lineRule="exact"/>
        <w:rPr>
          <w:rFonts w:ascii="Arial" w:cs="Arial" w:eastAsia="Arial" w:hAnsi="Arial"/>
          <w:sz w:val="18"/>
          <w:szCs w:val="18"/>
          <w:color w:val="auto"/>
        </w:rPr>
      </w:pPr>
    </w:p>
    <w:p>
      <w:pPr>
        <w:ind w:left="540" w:right="40" w:hanging="424"/>
        <w:spacing w:after="0" w:line="268" w:lineRule="auto"/>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Amounts shown represent the aggregate grant date fair value of RSUs and PSUs computed in accordance with Accounting Standards Codification 718. For a discussion of valuation assumptions, see Note 15 in our Notes to Consolidated Financial Statements included in our Annual Report on Form 10-K filed with the SEC on February 28, 2020. At the grant date, we believed that it was probable that the performance criteria applicable to the PSUs would be met at target level and that each individual will remain employed through the date of grant. Accordingly, the full value of awards granted has been included at 100% of target for all years shown. The maximum number of PSUs eligible to vest is equal to 200% of the target award. Assuming maximum level of achievement of the applicable performance conditions, the grant date fair value of the PSU awards granted to Messrs. Gary L. Carano, Reeg, Anthony L. Carano, Quatmann and Yunker during 2019 was $2,762,922, $5,241,926, $2,184,166, $818,996 and $1,472,243, respectively.</w:t>
      </w:r>
    </w:p>
    <w:p>
      <w:pPr>
        <w:spacing w:after="0" w:line="75" w:lineRule="exact"/>
        <w:rPr>
          <w:sz w:val="20"/>
          <w:szCs w:val="20"/>
          <w:color w:val="auto"/>
        </w:rPr>
      </w:pPr>
    </w:p>
    <w:p>
      <w:pPr>
        <w:ind w:left="560" w:right="20"/>
        <w:spacing w:after="0" w:line="269" w:lineRule="auto"/>
        <w:rPr>
          <w:sz w:val="20"/>
          <w:szCs w:val="20"/>
          <w:color w:val="auto"/>
        </w:rPr>
      </w:pPr>
      <w:r>
        <w:rPr>
          <w:rFonts w:ascii="Arial" w:cs="Arial" w:eastAsia="Arial" w:hAnsi="Arial"/>
          <w:sz w:val="17"/>
          <w:szCs w:val="17"/>
          <w:color w:val="auto"/>
        </w:rPr>
        <w:t>Once PSUs are earned, they vest and become payable at the end of an additional vesting period. The PSUs awarded in January 2017, 2018 and 2019 are each subject to a two-year performance period (2017 and 2018), (2018 and 2019) and (2019 and 2020), respectively, with a one-year additional vesting requirement, resulting in a total vesting period of three years from the grant date. Performance achievement over the two-year performance period is measured by averaging the level of achievement attained during each year of the applicable performance period. PSUs are earned as follows: 50% of the target number of PSUs will be earned at threshold performance, 100% of the target number of PSUs will be earned at target performance, and up to 200% of the target number of PSUs will be earned at maximum performance. No award is earned if performance falls below the threshold level. Following the end of the applicable performance period, the vesting of earned PSUs is subject to an additional one-year service condition. The PSUs granted in 2017 were deemed to be achieved at 126.75% of target based upon the average of our performance in 2017 at 116.0% and 2018 at 137.5% and the PSUs granted in 2018 were deemed to be achieved at 110.0% of target based upon the average of our performance in 2018 at 137.5% and 2019 at 82.5%.</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120"/>
        <w:spacing w:after="0" w:line="255" w:lineRule="auto"/>
        <w:rPr>
          <w:sz w:val="20"/>
          <w:szCs w:val="20"/>
          <w:color w:val="auto"/>
        </w:rPr>
      </w:pPr>
      <w:r>
        <w:rPr>
          <w:rFonts w:ascii="Arial" w:cs="Arial" w:eastAsia="Arial" w:hAnsi="Arial"/>
          <w:sz w:val="18"/>
          <w:szCs w:val="18"/>
          <w:color w:val="auto"/>
        </w:rPr>
        <w:t>For Messrs. Anthony L. Carano and Reeg, the value of stock awards shown for 2018 also includes the special equity grant made in October 2018 and described in “Compensation Discussion and Analysis.” For Mr. Yunker, the value of stock awards also includes the restricted stock unit grant made in connection with his commencement of employment with us.</w:t>
      </w:r>
    </w:p>
    <w:p>
      <w:pPr>
        <w:spacing w:after="0" w:line="3" w:lineRule="exact"/>
        <w:rPr>
          <w:sz w:val="20"/>
          <w:szCs w:val="20"/>
          <w:color w:val="auto"/>
        </w:rPr>
      </w:pPr>
    </w:p>
    <w:p>
      <w:pPr>
        <w:ind w:left="540" w:right="260" w:hanging="424"/>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shown for 2017, 2018 and 2019 represent the amounts earned under our annual bonus plan in respect of performance achieved during the applicable year.</w:t>
      </w: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other compensation for 2019 consisted of the following:</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Life</w:t>
            </w: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Use of</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Estate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Long-Term</w:t>
            </w:r>
          </w:p>
        </w:tc>
        <w:tc>
          <w:tcPr>
            <w:tcW w:w="1080" w:type="dxa"/>
            <w:vAlign w:val="bottom"/>
            <w:gridSpan w:val="2"/>
            <w:vMerge w:val="continue"/>
          </w:tcPr>
          <w:p>
            <w:pPr>
              <w:spacing w:after="0"/>
              <w:rPr>
                <w:sz w:val="12"/>
                <w:szCs w:val="12"/>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401(k)</w:t>
            </w: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Planning</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Insurance</w:t>
            </w:r>
          </w:p>
        </w:tc>
        <w:tc>
          <w:tcPr>
            <w:tcW w:w="1200" w:type="dxa"/>
            <w:vAlign w:val="bottom"/>
            <w:gridSpan w:val="2"/>
            <w:vMerge w:val="continue"/>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Corporate</w:t>
            </w:r>
          </w:p>
        </w:tc>
        <w:tc>
          <w:tcPr>
            <w:tcW w:w="1020" w:type="dxa"/>
            <w:vAlign w:val="bottom"/>
            <w:gridSpan w:val="2"/>
            <w:vMerge w:val="continue"/>
          </w:tcPr>
          <w:p>
            <w:pPr>
              <w:spacing w:after="0"/>
              <w:rPr>
                <w:sz w:val="12"/>
                <w:szCs w:val="12"/>
                <w:color w:val="auto"/>
              </w:rPr>
            </w:pPr>
          </w:p>
        </w:tc>
        <w:tc>
          <w:tcPr>
            <w:tcW w:w="11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and Tax</w:t>
            </w:r>
          </w:p>
        </w:tc>
        <w:tc>
          <w:tcPr>
            <w:tcW w:w="600" w:type="dxa"/>
            <w:vAlign w:val="bottom"/>
            <w:gridSpan w:val="2"/>
            <w:vMerge w:val="restart"/>
          </w:tcPr>
          <w:p>
            <w:pPr>
              <w:ind w:left="40"/>
              <w:spacing w:after="0"/>
              <w:rPr>
                <w:sz w:val="20"/>
                <w:szCs w:val="20"/>
                <w:color w:val="auto"/>
              </w:rPr>
            </w:pPr>
            <w:r>
              <w:rPr>
                <w:rFonts w:ascii="Arial" w:cs="Arial" w:eastAsia="Arial" w:hAnsi="Arial"/>
                <w:sz w:val="14"/>
                <w:szCs w:val="14"/>
                <w:b w:val="1"/>
                <w:bCs w:val="1"/>
                <w:u w:val="single" w:color="auto"/>
                <w:color w:val="auto"/>
              </w:rPr>
              <w:t>Total($</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8"/>
        </w:trPr>
        <w:tc>
          <w:tcPr>
            <w:tcW w:w="2880" w:type="dxa"/>
            <w:vAlign w:val="bottom"/>
            <w:gridSpan w:val="2"/>
            <w:vMerge w:val="continue"/>
          </w:tcPr>
          <w:p>
            <w:pPr>
              <w:spacing w:after="0"/>
              <w:rPr>
                <w:sz w:val="13"/>
                <w:szCs w:val="13"/>
                <w:color w:val="auto"/>
              </w:rPr>
            </w:pPr>
          </w:p>
        </w:tc>
        <w:tc>
          <w:tcPr>
            <w:tcW w:w="2240" w:type="dxa"/>
            <w:vAlign w:val="bottom"/>
            <w:gridSpan w:val="3"/>
          </w:tcPr>
          <w:p>
            <w:pPr>
              <w:jc w:val="center"/>
              <w:ind w:left="474"/>
              <w:spacing w:after="0" w:line="158" w:lineRule="exact"/>
              <w:rPr>
                <w:sz w:val="20"/>
                <w:szCs w:val="20"/>
                <w:color w:val="auto"/>
              </w:rPr>
            </w:pPr>
            <w:r>
              <w:rPr>
                <w:rFonts w:ascii="Arial" w:cs="Arial" w:eastAsia="Arial" w:hAnsi="Arial"/>
                <w:sz w:val="14"/>
                <w:szCs w:val="14"/>
                <w:b w:val="1"/>
                <w:bCs w:val="1"/>
                <w:u w:val="single" w:color="auto"/>
                <w:color w:val="auto"/>
                <w:w w:val="94"/>
              </w:rPr>
              <w:t>Premiums($</w:t>
            </w:r>
            <w:r>
              <w:rPr>
                <w:rFonts w:ascii="Arial" w:cs="Arial" w:eastAsia="Arial" w:hAnsi="Arial"/>
                <w:sz w:val="14"/>
                <w:szCs w:val="14"/>
                <w:b w:val="1"/>
                <w:bCs w:val="1"/>
                <w:color w:val="auto"/>
                <w:w w:val="94"/>
              </w:rPr>
              <w:t>)</w:t>
            </w:r>
          </w:p>
        </w:tc>
        <w:tc>
          <w:tcPr>
            <w:tcW w:w="120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Disability($</w:t>
            </w:r>
            <w:r>
              <w:rPr>
                <w:rFonts w:ascii="Arial" w:cs="Arial" w:eastAsia="Arial" w:hAnsi="Arial"/>
                <w:sz w:val="14"/>
                <w:szCs w:val="14"/>
                <w:b w:val="1"/>
                <w:bCs w:val="1"/>
                <w:color w:val="auto"/>
              </w:rPr>
              <w:t>)</w:t>
            </w:r>
          </w:p>
        </w:tc>
        <w:tc>
          <w:tcPr>
            <w:tcW w:w="108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5"/>
              </w:rPr>
              <w:t>Jet($)(1)</w:t>
            </w:r>
          </w:p>
        </w:tc>
        <w:tc>
          <w:tcPr>
            <w:tcW w:w="102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u w:val="single" w:color="auto"/>
                <w:color w:val="auto"/>
                <w:w w:val="97"/>
              </w:rPr>
              <w:t>Match($</w:t>
            </w:r>
            <w:r>
              <w:rPr>
                <w:rFonts w:ascii="Arial" w:cs="Arial" w:eastAsia="Arial" w:hAnsi="Arial"/>
                <w:sz w:val="14"/>
                <w:szCs w:val="14"/>
                <w:b w:val="1"/>
                <w:bCs w:val="1"/>
                <w:color w:val="auto"/>
                <w:w w:val="97"/>
              </w:rPr>
              <w:t>)</w:t>
            </w:r>
          </w:p>
        </w:tc>
        <w:tc>
          <w:tcPr>
            <w:tcW w:w="11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u w:val="single" w:color="auto"/>
                <w:color w:val="auto"/>
                <w:w w:val="88"/>
              </w:rPr>
              <w:t>Services($</w:t>
            </w:r>
            <w:r>
              <w:rPr>
                <w:rFonts w:ascii="Arial" w:cs="Arial" w:eastAsia="Arial" w:hAnsi="Arial"/>
                <w:sz w:val="14"/>
                <w:szCs w:val="14"/>
                <w:b w:val="1"/>
                <w:bCs w:val="1"/>
                <w:color w:val="auto"/>
                <w:w w:val="88"/>
              </w:rPr>
              <w:t>)</w:t>
            </w: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Gary L. Carano</w:t>
            </w: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1,056</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w w:val="84"/>
              </w:rPr>
              <w:t>1,948</w:t>
            </w: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33,238</w:t>
            </w: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8,400</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w w:val="84"/>
              </w:rPr>
              <w:t>6,659</w:t>
            </w: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51,301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Thomas R. Reeg</w:t>
            </w:r>
          </w:p>
        </w:tc>
        <w:tc>
          <w:tcPr>
            <w:tcW w:w="2240" w:type="dxa"/>
            <w:vAlign w:val="bottom"/>
            <w:gridSpan w:val="3"/>
          </w:tcPr>
          <w:p>
            <w:pPr>
              <w:jc w:val="right"/>
              <w:ind w:right="440"/>
              <w:spacing w:after="0"/>
              <w:rPr>
                <w:sz w:val="20"/>
                <w:szCs w:val="20"/>
                <w:color w:val="auto"/>
              </w:rPr>
            </w:pPr>
            <w:r>
              <w:rPr>
                <w:rFonts w:ascii="Arial" w:cs="Arial" w:eastAsia="Arial" w:hAnsi="Arial"/>
                <w:sz w:val="18"/>
                <w:szCs w:val="18"/>
                <w:color w:val="auto"/>
              </w:rPr>
              <w:t>1,056</w:t>
            </w:r>
          </w:p>
        </w:tc>
        <w:tc>
          <w:tcPr>
            <w:tcW w:w="1200" w:type="dxa"/>
            <w:vAlign w:val="bottom"/>
            <w:gridSpan w:val="2"/>
          </w:tcPr>
          <w:p>
            <w:pPr>
              <w:ind w:left="360"/>
              <w:spacing w:after="0"/>
              <w:rPr>
                <w:sz w:val="20"/>
                <w:szCs w:val="20"/>
                <w:color w:val="auto"/>
              </w:rPr>
            </w:pPr>
            <w:r>
              <w:rPr>
                <w:rFonts w:ascii="Arial" w:cs="Arial" w:eastAsia="Arial" w:hAnsi="Arial"/>
                <w:sz w:val="18"/>
                <w:szCs w:val="18"/>
                <w:color w:val="auto"/>
              </w:rPr>
              <w:t>1,948</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56,364</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8,400</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67,768</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L. Carano</w:t>
            </w:r>
          </w:p>
        </w:tc>
        <w:tc>
          <w:tcPr>
            <w:tcW w:w="2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1,056</w:t>
            </w:r>
          </w:p>
        </w:tc>
        <w:tc>
          <w:tcPr>
            <w:tcW w:w="1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1,948</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35,470</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38,474</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Edmund L. Quatmann, Jr.</w:t>
            </w:r>
          </w:p>
        </w:tc>
        <w:tc>
          <w:tcPr>
            <w:tcW w:w="2240" w:type="dxa"/>
            <w:vAlign w:val="bottom"/>
            <w:gridSpan w:val="3"/>
          </w:tcPr>
          <w:p>
            <w:pPr>
              <w:jc w:val="right"/>
              <w:ind w:right="440"/>
              <w:spacing w:after="0"/>
              <w:rPr>
                <w:sz w:val="20"/>
                <w:szCs w:val="20"/>
                <w:color w:val="auto"/>
              </w:rPr>
            </w:pPr>
            <w:r>
              <w:rPr>
                <w:rFonts w:ascii="Arial" w:cs="Arial" w:eastAsia="Arial" w:hAnsi="Arial"/>
                <w:sz w:val="18"/>
                <w:szCs w:val="18"/>
                <w:color w:val="auto"/>
              </w:rPr>
              <w:t>1,056</w:t>
            </w:r>
          </w:p>
        </w:tc>
        <w:tc>
          <w:tcPr>
            <w:tcW w:w="1200" w:type="dxa"/>
            <w:vAlign w:val="bottom"/>
            <w:gridSpan w:val="2"/>
          </w:tcPr>
          <w:p>
            <w:pPr>
              <w:ind w:left="360"/>
              <w:spacing w:after="0"/>
              <w:rPr>
                <w:sz w:val="20"/>
                <w:szCs w:val="20"/>
                <w:color w:val="auto"/>
              </w:rPr>
            </w:pPr>
            <w:r>
              <w:rPr>
                <w:rFonts w:ascii="Arial" w:cs="Arial" w:eastAsia="Arial" w:hAnsi="Arial"/>
                <w:sz w:val="18"/>
                <w:szCs w:val="18"/>
                <w:color w:val="auto"/>
              </w:rPr>
              <w:t>1,948</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30,001</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8,400</w:t>
            </w: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1,500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42,905</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Bret Yunker</w:t>
            </w:r>
          </w:p>
        </w:tc>
        <w:tc>
          <w:tcPr>
            <w:tcW w:w="2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704</w:t>
            </w:r>
          </w:p>
        </w:tc>
        <w:tc>
          <w:tcPr>
            <w:tcW w:w="1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1,299</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2,482</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2,596</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7,081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80" w:hanging="424"/>
        <w:spacing w:after="0" w:line="286"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amount disclosed for Messrs. Gary L. Carano, Reeg and Anthony L. Carano, Quatmann and Yunker reflects the aggregate incremental cost to the Company of providing Messrs. Gary L. Carano, Reeg and Anthony L. Carano, Quatmann and Yunker with certain personal use of an aircraft leased through NetJets. This cost is calculated based on the applicable hourly rate charged to the Company by NetJets.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Grant of Plan-Based Awards 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information regarding the grant of plan-based awards made during 2019 to the named executive officers.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All other</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gridSpan w:val="7"/>
            <w:vMerge w:val="restart"/>
          </w:tcPr>
          <w:p>
            <w:pPr>
              <w:jc w:val="center"/>
              <w:ind w:right="140"/>
              <w:spacing w:after="0"/>
              <w:rPr>
                <w:sz w:val="20"/>
                <w:szCs w:val="20"/>
                <w:color w:val="auto"/>
              </w:rPr>
            </w:pPr>
            <w:r>
              <w:rPr>
                <w:rFonts w:ascii="Arial" w:cs="Arial" w:eastAsia="Arial" w:hAnsi="Arial"/>
                <w:sz w:val="14"/>
                <w:szCs w:val="14"/>
                <w:b w:val="1"/>
                <w:bCs w:val="1"/>
                <w:color w:val="auto"/>
                <w:w w:val="89"/>
              </w:rPr>
              <w:t>Estimated possible payouts</w:t>
            </w:r>
          </w:p>
        </w:tc>
        <w:tc>
          <w:tcPr>
            <w:tcW w:w="2420" w:type="dxa"/>
            <w:vAlign w:val="bottom"/>
            <w:gridSpan w:val="7"/>
            <w:vMerge w:val="restart"/>
          </w:tcPr>
          <w:p>
            <w:pPr>
              <w:jc w:val="center"/>
              <w:ind w:right="160"/>
              <w:spacing w:after="0"/>
              <w:rPr>
                <w:sz w:val="20"/>
                <w:szCs w:val="20"/>
                <w:color w:val="auto"/>
              </w:rPr>
            </w:pPr>
            <w:r>
              <w:rPr>
                <w:rFonts w:ascii="Arial" w:cs="Arial" w:eastAsia="Arial" w:hAnsi="Arial"/>
                <w:sz w:val="14"/>
                <w:szCs w:val="14"/>
                <w:b w:val="1"/>
                <w:bCs w:val="1"/>
                <w:color w:val="auto"/>
                <w:w w:val="89"/>
              </w:rPr>
              <w:t>Estimated possible payouts</w:t>
            </w: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stock</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2420" w:type="dxa"/>
            <w:vAlign w:val="bottom"/>
            <w:gridSpan w:val="7"/>
            <w:vMerge w:val="continue"/>
          </w:tcPr>
          <w:p>
            <w:pPr>
              <w:spacing w:after="0"/>
              <w:rPr>
                <w:sz w:val="8"/>
                <w:szCs w:val="8"/>
                <w:color w:val="auto"/>
              </w:rPr>
            </w:pPr>
          </w:p>
        </w:tc>
        <w:tc>
          <w:tcPr>
            <w:tcW w:w="7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awards:</w:t>
            </w:r>
          </w:p>
        </w:tc>
        <w:tc>
          <w:tcPr>
            <w:tcW w:w="9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gridSpan w:val="3"/>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under non-equity</w:t>
            </w: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Number</w:t>
            </w:r>
          </w:p>
        </w:tc>
        <w:tc>
          <w:tcPr>
            <w:tcW w:w="9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date fair</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0" w:type="dxa"/>
            <w:vAlign w:val="bottom"/>
            <w:gridSpan w:val="6"/>
            <w:vMerge w:val="restart"/>
          </w:tcPr>
          <w:p>
            <w:pPr>
              <w:jc w:val="center"/>
              <w:spacing w:after="0" w:line="151" w:lineRule="exact"/>
              <w:rPr>
                <w:sz w:val="20"/>
                <w:szCs w:val="20"/>
                <w:color w:val="auto"/>
              </w:rPr>
            </w:pPr>
            <w:r>
              <w:rPr>
                <w:rFonts w:ascii="Arial" w:cs="Arial" w:eastAsia="Arial" w:hAnsi="Arial"/>
                <w:sz w:val="14"/>
                <w:szCs w:val="14"/>
                <w:b w:val="1"/>
                <w:bCs w:val="1"/>
                <w:color w:val="auto"/>
                <w:w w:val="93"/>
              </w:rPr>
              <w:t>incentive plan awards(1)</w:t>
            </w:r>
          </w:p>
        </w:tc>
        <w:tc>
          <w:tcPr>
            <w:tcW w:w="160" w:type="dxa"/>
            <w:vAlign w:val="bottom"/>
          </w:tcPr>
          <w:p>
            <w:pPr>
              <w:spacing w:after="0"/>
              <w:rPr>
                <w:sz w:val="4"/>
                <w:szCs w:val="4"/>
                <w:color w:val="auto"/>
              </w:rPr>
            </w:pPr>
          </w:p>
        </w:tc>
        <w:tc>
          <w:tcPr>
            <w:tcW w:w="2260" w:type="dxa"/>
            <w:vAlign w:val="bottom"/>
            <w:gridSpan w:val="6"/>
            <w:vMerge w:val="restart"/>
          </w:tcPr>
          <w:p>
            <w:pPr>
              <w:jc w:val="center"/>
              <w:spacing w:after="0" w:line="151" w:lineRule="exact"/>
              <w:rPr>
                <w:sz w:val="20"/>
                <w:szCs w:val="20"/>
                <w:color w:val="auto"/>
              </w:rPr>
            </w:pPr>
            <w:r>
              <w:rPr>
                <w:rFonts w:ascii="Arial" w:cs="Arial" w:eastAsia="Arial" w:hAnsi="Arial"/>
                <w:sz w:val="14"/>
                <w:szCs w:val="14"/>
                <w:b w:val="1"/>
                <w:bCs w:val="1"/>
                <w:color w:val="auto"/>
                <w:w w:val="92"/>
              </w:rPr>
              <w:t>incentive plan awards</w:t>
            </w:r>
          </w:p>
        </w:tc>
        <w:tc>
          <w:tcPr>
            <w:tcW w:w="1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0" w:type="dxa"/>
            <w:vAlign w:val="bottom"/>
            <w:tcBorders>
              <w:bottom w:val="single" w:sz="8" w:color="auto"/>
            </w:tcBorders>
            <w:gridSpan w:val="6"/>
            <w:vMerge w:val="continue"/>
          </w:tcPr>
          <w:p>
            <w:pPr>
              <w:spacing w:after="0"/>
              <w:rPr>
                <w:sz w:val="11"/>
                <w:szCs w:val="11"/>
                <w:color w:val="auto"/>
              </w:rPr>
            </w:pPr>
          </w:p>
        </w:tc>
        <w:tc>
          <w:tcPr>
            <w:tcW w:w="160" w:type="dxa"/>
            <w:vAlign w:val="bottom"/>
          </w:tcPr>
          <w:p>
            <w:pPr>
              <w:spacing w:after="0"/>
              <w:rPr>
                <w:sz w:val="11"/>
                <w:szCs w:val="11"/>
                <w:color w:val="auto"/>
              </w:rPr>
            </w:pPr>
          </w:p>
        </w:tc>
        <w:tc>
          <w:tcPr>
            <w:tcW w:w="2260" w:type="dxa"/>
            <w:vAlign w:val="bottom"/>
            <w:tcBorders>
              <w:bottom w:val="single" w:sz="8" w:color="auto"/>
            </w:tcBorders>
            <w:gridSpan w:val="6"/>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of shares</w:t>
            </w:r>
          </w:p>
        </w:tc>
        <w:tc>
          <w:tcPr>
            <w:tcW w:w="9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Grant</w:t>
            </w: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Threshold</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Target</w:t>
            </w: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Maximum</w:t>
            </w: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1"/>
              </w:rPr>
              <w:t>Threshold</w:t>
            </w:r>
          </w:p>
        </w:tc>
        <w:tc>
          <w:tcPr>
            <w:tcW w:w="12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Target</w:t>
            </w: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Maximum</w:t>
            </w: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of stock</w:t>
            </w: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stock</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5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or units</w:t>
            </w: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awards</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rPr>
              <w:t>date</w:t>
            </w:r>
          </w:p>
        </w:tc>
        <w:tc>
          <w:tcPr>
            <w:tcW w:w="820" w:type="dxa"/>
            <w:vAlign w:val="bottom"/>
          </w:tcPr>
          <w:p>
            <w:pPr>
              <w:jc w:val="right"/>
              <w:ind w:right="238"/>
              <w:spacing w:after="0" w:line="158"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980" w:type="dxa"/>
            <w:vAlign w:val="bottom"/>
            <w:gridSpan w:val="2"/>
          </w:tcPr>
          <w:p>
            <w:pPr>
              <w:jc w:val="center"/>
              <w:ind w:left="56"/>
              <w:spacing w:after="0" w:line="15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820" w:type="dxa"/>
            <w:vAlign w:val="bottom"/>
          </w:tcPr>
          <w:p>
            <w:pPr>
              <w:jc w:val="right"/>
              <w:ind w:right="235"/>
              <w:spacing w:after="0" w:line="15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60" w:type="dxa"/>
            <w:vAlign w:val="bottom"/>
          </w:tcPr>
          <w:p>
            <w:pPr>
              <w:jc w:val="right"/>
              <w:ind w:right="158"/>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700" w:type="dxa"/>
            <w:vAlign w:val="bottom"/>
            <w:gridSpan w:val="2"/>
          </w:tcPr>
          <w:p>
            <w:pPr>
              <w:jc w:val="center"/>
              <w:ind w:left="55"/>
              <w:spacing w:after="0" w:line="15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700" w:type="dxa"/>
            <w:vAlign w:val="bottom"/>
          </w:tcPr>
          <w:p>
            <w:pPr>
              <w:jc w:val="right"/>
              <w:ind w:right="175"/>
              <w:spacing w:after="0" w:line="15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Gary L. Carano</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480"/>
              <w:spacing w:after="0" w:line="203" w:lineRule="exact"/>
              <w:rPr>
                <w:sz w:val="20"/>
                <w:szCs w:val="20"/>
                <w:color w:val="auto"/>
              </w:rPr>
            </w:pPr>
            <w:r>
              <w:rPr>
                <w:rFonts w:ascii="Arial" w:cs="Arial" w:eastAsia="Arial" w:hAnsi="Arial"/>
                <w:sz w:val="18"/>
                <w:szCs w:val="18"/>
                <w:color w:val="auto"/>
                <w:w w:val="93"/>
              </w:rPr>
              <w:t>N/A</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687,500</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1,375,000</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2,750,000</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Time-based</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1/25/2019</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31,121</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1,381,461</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Performance-based</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1/25/2019</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15,561</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31,121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62,242</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1,381,461</w:t>
            </w:r>
          </w:p>
        </w:tc>
        <w:tc>
          <w:tcPr>
            <w:tcW w:w="0" w:type="dxa"/>
            <w:vAlign w:val="bottom"/>
          </w:tcPr>
          <w:p>
            <w:pPr>
              <w:spacing w:after="0"/>
              <w:rPr>
                <w:sz w:val="1"/>
                <w:szCs w:val="1"/>
                <w:color w:val="auto"/>
              </w:rPr>
            </w:pPr>
          </w:p>
        </w:tc>
      </w:tr>
      <w:tr>
        <w:trPr>
          <w:trHeight w:val="202"/>
        </w:trPr>
        <w:tc>
          <w:tcPr>
            <w:tcW w:w="2860" w:type="dxa"/>
            <w:vAlign w:val="bottom"/>
            <w:gridSpan w:val="2"/>
          </w:tcPr>
          <w:p>
            <w:pPr>
              <w:spacing w:after="0" w:line="201" w:lineRule="exact"/>
              <w:rPr>
                <w:sz w:val="20"/>
                <w:szCs w:val="20"/>
                <w:color w:val="auto"/>
              </w:rPr>
            </w:pPr>
            <w:r>
              <w:rPr>
                <w:rFonts w:ascii="Arial" w:cs="Arial" w:eastAsia="Arial" w:hAnsi="Arial"/>
                <w:sz w:val="18"/>
                <w:szCs w:val="18"/>
                <w:color w:val="auto"/>
              </w:rPr>
              <w:t>Thomas R. Reeg</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ind w:left="480"/>
              <w:spacing w:after="0" w:line="201" w:lineRule="exact"/>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w w:val="99"/>
              </w:rPr>
              <w:t>1,200,000</w:t>
            </w:r>
          </w:p>
        </w:tc>
        <w:tc>
          <w:tcPr>
            <w:tcW w:w="114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2,400,000</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w w:val="99"/>
              </w:rPr>
              <w:t>4,800,000</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ind w:left="360"/>
              <w:spacing w:after="0"/>
              <w:rPr>
                <w:sz w:val="20"/>
                <w:szCs w:val="20"/>
                <w:color w:val="auto"/>
              </w:rPr>
            </w:pPr>
            <w:r>
              <w:rPr>
                <w:rFonts w:ascii="Arial" w:cs="Arial" w:eastAsia="Arial" w:hAnsi="Arial"/>
                <w:sz w:val="18"/>
                <w:szCs w:val="18"/>
                <w:color w:val="auto"/>
              </w:rPr>
              <w:t>Time-based</w:t>
            </w: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1/25/2019</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59,044</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2,620,963</w:t>
            </w:r>
          </w:p>
        </w:tc>
        <w:tc>
          <w:tcPr>
            <w:tcW w:w="0" w:type="dxa"/>
            <w:vAlign w:val="bottom"/>
          </w:tcPr>
          <w:p>
            <w:pPr>
              <w:spacing w:after="0"/>
              <w:rPr>
                <w:sz w:val="1"/>
                <w:szCs w:val="1"/>
                <w:color w:val="auto"/>
              </w:rPr>
            </w:pPr>
          </w:p>
        </w:tc>
      </w:tr>
      <w:tr>
        <w:trPr>
          <w:trHeight w:val="230"/>
        </w:trPr>
        <w:tc>
          <w:tcPr>
            <w:tcW w:w="2860" w:type="dxa"/>
            <w:vAlign w:val="bottom"/>
            <w:gridSpan w:val="2"/>
          </w:tcPr>
          <w:p>
            <w:pPr>
              <w:ind w:left="360"/>
              <w:spacing w:after="0"/>
              <w:rPr>
                <w:sz w:val="20"/>
                <w:szCs w:val="20"/>
                <w:color w:val="auto"/>
              </w:rPr>
            </w:pPr>
            <w:r>
              <w:rPr>
                <w:rFonts w:ascii="Arial" w:cs="Arial" w:eastAsia="Arial" w:hAnsi="Arial"/>
                <w:sz w:val="18"/>
                <w:szCs w:val="18"/>
                <w:color w:val="auto"/>
              </w:rPr>
              <w:t>Performance-based</w:t>
            </w: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1/25/2019</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29,522</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59,044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118,088</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2,620,963</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L. Carano</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625,000</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1,250,000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2,500,000</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Time-based</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1/25/2019</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24,602</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1,092,083</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Performance-based</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1/25/2019</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12,301</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24,602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49,204</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1,092,083</w:t>
            </w:r>
          </w:p>
        </w:tc>
        <w:tc>
          <w:tcPr>
            <w:tcW w:w="0" w:type="dxa"/>
            <w:vAlign w:val="bottom"/>
          </w:tcPr>
          <w:p>
            <w:pPr>
              <w:spacing w:after="0"/>
              <w:rPr>
                <w:sz w:val="1"/>
                <w:szCs w:val="1"/>
                <w:color w:val="auto"/>
              </w:rPr>
            </w:pPr>
          </w:p>
        </w:tc>
      </w:tr>
      <w:tr>
        <w:trPr>
          <w:trHeight w:val="202"/>
        </w:trPr>
        <w:tc>
          <w:tcPr>
            <w:tcW w:w="2860" w:type="dxa"/>
            <w:vAlign w:val="bottom"/>
            <w:gridSpan w:val="2"/>
          </w:tcPr>
          <w:p>
            <w:pPr>
              <w:spacing w:after="0" w:line="201" w:lineRule="exact"/>
              <w:rPr>
                <w:sz w:val="20"/>
                <w:szCs w:val="20"/>
                <w:color w:val="auto"/>
              </w:rPr>
            </w:pPr>
            <w:r>
              <w:rPr>
                <w:rFonts w:ascii="Arial" w:cs="Arial" w:eastAsia="Arial" w:hAnsi="Arial"/>
                <w:sz w:val="18"/>
                <w:szCs w:val="18"/>
                <w:color w:val="auto"/>
              </w:rPr>
              <w:t>Edmund L. Quatmann, Jr.</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ind w:left="480"/>
              <w:spacing w:after="0" w:line="201" w:lineRule="exact"/>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225,000</w:t>
            </w:r>
          </w:p>
        </w:tc>
        <w:tc>
          <w:tcPr>
            <w:tcW w:w="114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450,000</w:t>
            </w: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900,000</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ind w:left="360"/>
              <w:spacing w:after="0"/>
              <w:rPr>
                <w:sz w:val="20"/>
                <w:szCs w:val="20"/>
                <w:color w:val="auto"/>
              </w:rPr>
            </w:pPr>
            <w:r>
              <w:rPr>
                <w:rFonts w:ascii="Arial" w:cs="Arial" w:eastAsia="Arial" w:hAnsi="Arial"/>
                <w:sz w:val="18"/>
                <w:szCs w:val="18"/>
                <w:color w:val="auto"/>
              </w:rPr>
              <w:t>Time-based</w:t>
            </w: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1/25/2019</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9,225</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409,498</w:t>
            </w:r>
          </w:p>
        </w:tc>
        <w:tc>
          <w:tcPr>
            <w:tcW w:w="0" w:type="dxa"/>
            <w:vAlign w:val="bottom"/>
          </w:tcPr>
          <w:p>
            <w:pPr>
              <w:spacing w:after="0"/>
              <w:rPr>
                <w:sz w:val="1"/>
                <w:szCs w:val="1"/>
                <w:color w:val="auto"/>
              </w:rPr>
            </w:pPr>
          </w:p>
        </w:tc>
      </w:tr>
      <w:tr>
        <w:trPr>
          <w:trHeight w:val="230"/>
        </w:trPr>
        <w:tc>
          <w:tcPr>
            <w:tcW w:w="2860" w:type="dxa"/>
            <w:vAlign w:val="bottom"/>
            <w:gridSpan w:val="2"/>
          </w:tcPr>
          <w:p>
            <w:pPr>
              <w:ind w:left="360"/>
              <w:spacing w:after="0"/>
              <w:rPr>
                <w:sz w:val="20"/>
                <w:szCs w:val="20"/>
                <w:color w:val="auto"/>
              </w:rPr>
            </w:pPr>
            <w:r>
              <w:rPr>
                <w:rFonts w:ascii="Arial" w:cs="Arial" w:eastAsia="Arial" w:hAnsi="Arial"/>
                <w:sz w:val="18"/>
                <w:szCs w:val="18"/>
                <w:color w:val="auto"/>
              </w:rPr>
              <w:t>Performance-based</w:t>
            </w: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1/25/2019</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4,613</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9,225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18,450</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409,498</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Bret Yunker</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375,000</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750,000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1,500,000</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Time-based</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5/2/2019</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15,228</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736,122</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Performance-based</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5/2/2019</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7,614</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15,228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30,456</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736,122</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Time-based</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5/2/2019</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60,800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2,939,072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120" w:hanging="424"/>
        <w:spacing w:after="0" w:line="277"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 the 2019 ‘Non-Equity Incentive Plan Compensation’ column of the “Summary Compensation Table” for the actual annual cash bonus paid to the named executive officers in respect of 2019 performance.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 w:hanging="424"/>
        <w:spacing w:after="0" w:line="291"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the aggregate grant date fair value of RSUs and PSUs granted during 2019 computed in accordance with ASC 718. The maximum payout for the PSUs is 200% of the target award. Once the PSUs have been earned based on performance, they will vest and become payable at the end of the additional one-year vesting period. At the grant date, we believed that it was probable that the performance criteria would be met at target level and that each individual would remain employed through the end of the additional one-year, service-based vesting period. Accordingly, the full value of awards granted has been included at 100% of target. Assuming maximum level of achievement of the applicable performance conditions, the grant date fair value of the PSU awards granted to Messrs. Gary L. Carano, Reeg, Anthony L. Carano, Quatmann and Yunker was $2,762,922, $5,241,926, $2,184,166, $818,996 and $1,472,243,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Narrative Disclosure to Summary Compensation Table and Grants of Plan-Based Awards Table</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Company is party to employment agreements with each of the NEOs. On October 1, 2018, in connection with the change in management structure, the Company entered into amendments to the employment agreements between the Company and each of Messrs. Reeg, Gary L. Carano and Anthony L. Carano. These amendments became effective January 1, 2019. On February 1, 2019, the Company entered into an employment agreement with Mr. Yunker, and he began employment with the Company on May 2, 2019.</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description below reflects the terms of each NEO’s employment agreement in effect during 2019.</w:t>
      </w:r>
    </w:p>
    <w:p>
      <w:pPr>
        <w:spacing w:after="0" w:line="225"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Each NEO’s employment agreement has a three-year term with automatic one-year renewals unless a notice of non-renewal was provided by either party at least three months before the scheduled renewal date. The expiration date of the current term of employment for each of the NEOs under the employment agreements is January 1, 2022 for Messrs. Gary L. Carano, Reeg, Anthony L. Carano and Quatmann, and May 2, 2022 for Mr. Yunker. If a “change in control” (as defined in the agreements) occurs during the term of the named executive officer’s agreement, the term of such agreement will be extended to the second year following such change of control, subject to automatic renewal for subsequent periods.</w:t>
      </w:r>
    </w:p>
    <w:p>
      <w:pPr>
        <w:spacing w:after="0" w:line="16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the event of a termination of Mr. Gary L. Carano’s and Mr. Reeg’s employment without “cause” or if either of them terminates his employment for “good reason” (each as defined in their agreements), then such executive would be entitled to receive (i) a lump-sum payment equal to 1.5 times the sum of his base salary and annual incentive award target, or 2.99 times such amount in the event of such a termination within two years following a change in control, (ii) a lump-sum payment of a prorated portion of his actual annual incentive award for the year of termination, if any, or a prorated portion of his annual incentive award at target level in the event of such a termination within two years following a change in control, (iii) a lump-sum payment equal to 18 months of health benefits coverage, or 24 months if such a termination is within two years following a change in control, and (iv) if such termination is not in connection with a change in control, outplacement services for no more than 18 months and in an amount not to exceed $15,000 in the aggregate.</w:t>
      </w:r>
    </w:p>
    <w:p>
      <w:pPr>
        <w:spacing w:after="0" w:line="192"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With respect to each of the other executives’ agreements, in the event that we terminated the executive’s employment without “cause” or if such executive terminated his employment for “good reason” (each as defined in the applicable executive’s agreement), such executive would be entitled to receive (i) his unpaid salary, accrued and unused vacation, and unreimbursed business expenses through the date of termination (the “Accrued Rights”),</w:t>
      </w:r>
    </w:p>
    <w:p>
      <w:pPr>
        <w:spacing w:after="0" w:line="2" w:lineRule="exact"/>
        <w:rPr>
          <w:sz w:val="20"/>
          <w:szCs w:val="20"/>
          <w:color w:val="auto"/>
        </w:rPr>
      </w:pPr>
    </w:p>
    <w:p>
      <w:pPr>
        <w:ind w:left="120" w:right="140" w:hanging="4"/>
        <w:spacing w:after="0" w:line="290" w:lineRule="auto"/>
        <w:tabs>
          <w:tab w:leader="none" w:pos="385"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lump-sum payment equal to 1.0 times the sum of such executive’s base salary and annual incentive award target (or 2.0 times such amount in the event of such a termination within two years following a change in control), (iii) a lump-sum payment of a prorated portion of such executive’s actual annual incentive award for the calendar year that includes the date of the termination, if any, or a prorated portion of such executive’s annual incentive award at target level in the event of such a termination within two years following a change in control, (iv) a lump-sum payment equal to 12 months of health benefits coverage (or 18 months if such a termination is within two years following a change in control), and (v) if such termination is not in connection with a change in control, outplacement services for no more than 12 months and in an amount not to exceed $10,000.</w:t>
      </w:r>
    </w:p>
    <w:p>
      <w:pPr>
        <w:spacing w:after="0" w:line="164"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agreements include non-competition and non-solicitation provisions that apply for 12 months (18 months for Mr. Gary L. Carano and Mr. Reeg) following the executive’s termination of employment.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Outstanding Equity Awards at Fiscal Year-End Table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shows outstanding equity awards held by the named executive officers as of December 31,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Option awards</w:t>
            </w: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Stock awards</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8"/>
              </w:rPr>
              <w:t>Equity</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incentive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plan</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Market</w:t>
            </w: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plan awards: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gridSpan w:val="2"/>
            <w:vMerge w:val="continue"/>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number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payout 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number of</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value</w:t>
            </w: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unearned</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of 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shares or</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shares or</w:t>
            </w: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shares, units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units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securities</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200" w:type="dxa"/>
            <w:vAlign w:val="bottom"/>
          </w:tcPr>
          <w:p>
            <w:pPr>
              <w:spacing w:after="0"/>
              <w:rPr>
                <w:sz w:val="12"/>
                <w:szCs w:val="12"/>
                <w:color w:val="auto"/>
              </w:rPr>
            </w:pP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units of</w:t>
            </w: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units of</w:t>
            </w: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or other</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other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1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underlying</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stock that</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stock that</w:t>
            </w: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rights that</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rights that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unearned</w:t>
            </w:r>
          </w:p>
        </w:tc>
        <w:tc>
          <w:tcPr>
            <w:tcW w:w="2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exercise</w:t>
            </w:r>
          </w:p>
        </w:tc>
        <w:tc>
          <w:tcPr>
            <w:tcW w:w="900" w:type="dxa"/>
            <w:vAlign w:val="bottom"/>
            <w:gridSpan w:val="2"/>
            <w:vMerge w:val="continue"/>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have not</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have not</w:t>
            </w: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have not</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options (#)</w:t>
            </w: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options (#)</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price</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expiration</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vested</w:t>
            </w: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vested</w:t>
            </w: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vested</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vested</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2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80" w:type="dxa"/>
            <w:vAlign w:val="bottom"/>
          </w:tcPr>
          <w:p>
            <w:pPr>
              <w:spacing w:after="0"/>
              <w:rPr>
                <w:sz w:val="13"/>
                <w:szCs w:val="13"/>
                <w:color w:val="auto"/>
              </w:rPr>
            </w:pPr>
          </w:p>
        </w:tc>
        <w:tc>
          <w:tcPr>
            <w:tcW w:w="10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89"/>
              </w:rPr>
              <w:t>unexercisable</w:t>
            </w: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80" w:type="dxa"/>
            <w:vAlign w:val="bottom"/>
            <w:gridSpan w:val="2"/>
          </w:tcPr>
          <w:p>
            <w:pPr>
              <w:jc w:val="right"/>
              <w:ind w:right="88"/>
              <w:spacing w:after="0" w:line="158"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9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0"/>
              </w:rPr>
              <w:t>date</w:t>
            </w: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48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Gary L. Carano</w:t>
            </w: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74,304(1)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4,431,491</w:t>
            </w:r>
          </w:p>
        </w:tc>
        <w:tc>
          <w:tcPr>
            <w:tcW w:w="180" w:type="dxa"/>
            <w:vAlign w:val="bottom"/>
            <w:vMerge w:val="continue"/>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58,623(2)</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5"/>
              </w:rPr>
              <w:t>3,496,276</w:t>
            </w: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42,792(3)</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5"/>
              </w:rPr>
              <w:t>2,552,115</w:t>
            </w: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38,902(4)</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5"/>
              </w:rPr>
              <w:t>2,320,115</w:t>
            </w: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28,398(5)</w:t>
            </w:r>
          </w:p>
        </w:tc>
        <w:tc>
          <w:tcPr>
            <w:tcW w:w="8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1,693,657</w:t>
            </w:r>
          </w:p>
        </w:tc>
        <w:tc>
          <w:tcPr>
            <w:tcW w:w="0" w:type="dxa"/>
            <w:vAlign w:val="bottom"/>
          </w:tcPr>
          <w:p>
            <w:pPr>
              <w:spacing w:after="0"/>
              <w:rPr>
                <w:sz w:val="1"/>
                <w:szCs w:val="1"/>
                <w:color w:val="auto"/>
              </w:rPr>
            </w:pPr>
          </w:p>
        </w:tc>
      </w:tr>
      <w:tr>
        <w:trPr>
          <w:trHeight w:val="197"/>
        </w:trPr>
        <w:tc>
          <w:tcPr>
            <w:tcW w:w="3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31,121(6)</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w w:val="95"/>
              </w:rPr>
              <w:t>1,856,056</w:t>
            </w:r>
          </w:p>
        </w:tc>
        <w:tc>
          <w:tcPr>
            <w:tcW w:w="1200" w:type="dxa"/>
            <w:vAlign w:val="bottom"/>
            <w:gridSpan w:val="2"/>
            <w:vMerge w:val="continue"/>
            <w:shd w:val="clear" w:color="auto" w:fill="CCEEFF"/>
          </w:tcPr>
          <w:p>
            <w:pPr>
              <w:spacing w:after="0"/>
              <w:rPr>
                <w:sz w:val="17"/>
                <w:szCs w:val="17"/>
                <w:color w:val="auto"/>
              </w:rPr>
            </w:pPr>
          </w:p>
        </w:tc>
        <w:tc>
          <w:tcPr>
            <w:tcW w:w="840" w:type="dxa"/>
            <w:vAlign w:val="bottom"/>
            <w:tcBorders>
              <w:right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2480" w:type="dxa"/>
            <w:vAlign w:val="bottom"/>
            <w:gridSpan w:val="2"/>
          </w:tcPr>
          <w:p>
            <w:pPr>
              <w:spacing w:after="0"/>
              <w:rPr>
                <w:sz w:val="20"/>
                <w:szCs w:val="20"/>
                <w:color w:val="auto"/>
              </w:rPr>
            </w:pPr>
            <w:r>
              <w:rPr>
                <w:rFonts w:ascii="Arial" w:cs="Arial" w:eastAsia="Arial" w:hAnsi="Arial"/>
                <w:sz w:val="16"/>
                <w:szCs w:val="16"/>
                <w:color w:val="auto"/>
              </w:rPr>
              <w:t>Thomas R. Reeg</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43,214(1)</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w w:val="95"/>
              </w:rPr>
              <w:t>2,577,283</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34,094(2)</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w w:val="95"/>
              </w:rPr>
              <w:t>2,033,366</w:t>
            </w: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25,877(3)</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w w:val="95"/>
              </w:rPr>
              <w:t>1,543,304</w:t>
            </w: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23,525(4)</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w w:val="95"/>
              </w:rPr>
              <w:t>1,403,031</w:t>
            </w: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68,918(7)</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w w:val="95"/>
              </w:rPr>
              <w:t>4,110,270</w:t>
            </w: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53,878(5)</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3,213,284</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59,044(6)</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w w:val="95"/>
              </w:rPr>
              <w:t>3,521,384</w:t>
            </w:r>
          </w:p>
        </w:tc>
        <w:tc>
          <w:tcPr>
            <w:tcW w:w="12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3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Anthony L. Carano</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22,486(1)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5"/>
              </w:rPr>
              <w:t>1,341,065</w:t>
            </w: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17,741(2)</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5"/>
              </w:rPr>
              <w:t>1,058,073</w:t>
            </w: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14,799(3)</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882,612</w:t>
            </w: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13,454(4)</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802,397</w:t>
            </w: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43,074(7)</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5"/>
              </w:rPr>
              <w:t>2,568,933</w:t>
            </w: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22,449(5)</w:t>
            </w:r>
          </w:p>
        </w:tc>
        <w:tc>
          <w:tcPr>
            <w:tcW w:w="8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1,338,858</w:t>
            </w:r>
          </w:p>
        </w:tc>
        <w:tc>
          <w:tcPr>
            <w:tcW w:w="0" w:type="dxa"/>
            <w:vAlign w:val="bottom"/>
          </w:tcPr>
          <w:p>
            <w:pPr>
              <w:spacing w:after="0"/>
              <w:rPr>
                <w:sz w:val="1"/>
                <w:szCs w:val="1"/>
                <w:color w:val="auto"/>
              </w:rPr>
            </w:pPr>
          </w:p>
        </w:tc>
      </w:tr>
      <w:tr>
        <w:trPr>
          <w:trHeight w:val="197"/>
        </w:trPr>
        <w:tc>
          <w:tcPr>
            <w:tcW w:w="3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24,602(6)</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w w:val="95"/>
              </w:rPr>
              <w:t>1,467,263</w:t>
            </w:r>
          </w:p>
        </w:tc>
        <w:tc>
          <w:tcPr>
            <w:tcW w:w="1200" w:type="dxa"/>
            <w:vAlign w:val="bottom"/>
            <w:gridSpan w:val="2"/>
            <w:vMerge w:val="continue"/>
            <w:shd w:val="clear" w:color="auto" w:fill="CCEEFF"/>
          </w:tcPr>
          <w:p>
            <w:pPr>
              <w:spacing w:after="0"/>
              <w:rPr>
                <w:sz w:val="17"/>
                <w:szCs w:val="17"/>
                <w:color w:val="auto"/>
              </w:rPr>
            </w:pPr>
          </w:p>
        </w:tc>
        <w:tc>
          <w:tcPr>
            <w:tcW w:w="840" w:type="dxa"/>
            <w:vAlign w:val="bottom"/>
            <w:tcBorders>
              <w:right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2480" w:type="dxa"/>
            <w:vAlign w:val="bottom"/>
            <w:gridSpan w:val="2"/>
          </w:tcPr>
          <w:p>
            <w:pPr>
              <w:spacing w:after="0"/>
              <w:rPr>
                <w:sz w:val="20"/>
                <w:szCs w:val="20"/>
                <w:color w:val="auto"/>
              </w:rPr>
            </w:pPr>
            <w:r>
              <w:rPr>
                <w:rFonts w:ascii="Arial" w:cs="Arial" w:eastAsia="Arial" w:hAnsi="Arial"/>
                <w:sz w:val="16"/>
                <w:szCs w:val="16"/>
                <w:color w:val="auto"/>
              </w:rPr>
              <w:t>Edmund L. Quatmann, Jr.</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22,520</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$ 15.61</w:t>
            </w:r>
          </w:p>
        </w:tc>
        <w:tc>
          <w:tcPr>
            <w:tcW w:w="18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w w:val="95"/>
              </w:rPr>
              <w:t>4/24/2024</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9,368(1)</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558,708</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7,374(3)</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439,785</w:t>
            </w: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6,704(4)</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399,827</w:t>
            </w: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9,225(6)</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550,179</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8,418(5)</w:t>
            </w:r>
          </w:p>
        </w:tc>
        <w:tc>
          <w:tcPr>
            <w:tcW w:w="840" w:type="dxa"/>
            <w:vAlign w:val="bottom"/>
          </w:tcPr>
          <w:p>
            <w:pPr>
              <w:jc w:val="right"/>
              <w:spacing w:after="0"/>
              <w:rPr>
                <w:sz w:val="20"/>
                <w:szCs w:val="20"/>
                <w:color w:val="auto"/>
              </w:rPr>
            </w:pPr>
            <w:r>
              <w:rPr>
                <w:rFonts w:ascii="Arial" w:cs="Arial" w:eastAsia="Arial" w:hAnsi="Arial"/>
                <w:sz w:val="16"/>
                <w:szCs w:val="16"/>
                <w:color w:val="auto"/>
              </w:rPr>
              <w:t>502,050</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3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Bret Yunker</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15,228(6)</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908,198</w:t>
            </w: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30,400(6)</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5"/>
              </w:rPr>
              <w:t>1,813,056</w:t>
            </w: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13,896(5)</w:t>
            </w:r>
          </w:p>
        </w:tc>
        <w:tc>
          <w:tcPr>
            <w:tcW w:w="8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828,757</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840" w:type="dxa"/>
            <w:vAlign w:val="bottom"/>
            <w:tcBorders>
              <w:right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540" w:right="120" w:hanging="424"/>
        <w:spacing w:after="0" w:line="265"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PSUs awarded in January 2017 at 126.75% of target based upon the average of our performance in 2017 at 116.0% of target and 2018 at 137.5% of target based upon our performance in each of year valued at $59.64 per share, which was our closing stock price as of December 31, 2019. These PSUs vested on January 1, 2020. Mr. Quatmann’s PSUs were awarded in May 2017 and vest on May 3, 2020.</w:t>
      </w:r>
    </w:p>
    <w:p>
      <w:pPr>
        <w:spacing w:after="0" w:line="1" w:lineRule="exact"/>
        <w:rPr>
          <w:rFonts w:ascii="Arial" w:cs="Arial" w:eastAsia="Arial" w:hAnsi="Arial"/>
          <w:sz w:val="16"/>
          <w:szCs w:val="16"/>
          <w:color w:val="auto"/>
        </w:rPr>
      </w:pPr>
    </w:p>
    <w:p>
      <w:pPr>
        <w:ind w:left="540" w:right="20" w:hanging="424"/>
        <w:spacing w:after="0" w:line="264"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time-based RSUs awarded in January 2017 valued at $59.64 per share, which was our closing stock price as of December 31, 2019. These RSUs vested on January 27, 2020.</w:t>
      </w:r>
    </w:p>
    <w:p>
      <w:pPr>
        <w:ind w:left="540" w:right="320" w:hanging="424"/>
        <w:spacing w:after="0" w:line="264"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PSUs awarded in January 2018 at 110.0% of target (based upon the average of our performance in 2018 at 137.5% of target and 2019 at 82.5% of target based upon our based upon our performance in each year valued at $59.64 per share, which was our closing stock price as of December 31, 2019. These PSUs are eligible to vest on January 1, 2021.</w:t>
      </w:r>
    </w:p>
    <w:p>
      <w:pPr>
        <w:ind w:left="540" w:right="240" w:hanging="424"/>
        <w:spacing w:after="0" w:line="288"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time-based RSUs awarded in January 2018 valued at $59.64 per share, which was our closing stock price as of December 31, 2019. These RSUs are eligible to vest on January 26, 2021.</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540" w:right="160" w:hanging="424"/>
        <w:spacing w:after="0" w:line="265" w:lineRule="auto"/>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PSUs awarded in January 2019 at 91.25% of target (based upon the average of our performance in 2019 at 82.5% of target and assuming 100% of target for 2020) valued at $59.64 per share, which was our closing stock price as of December 31, 2019. These PSUs are eligible to vest on January 1, 2022. Mr. Yunker’s RSUs were awarded in May 2019 and vest on May 2, 2022.</w:t>
      </w:r>
    </w:p>
    <w:p>
      <w:pPr>
        <w:spacing w:after="0" w:line="1" w:lineRule="exact"/>
        <w:rPr>
          <w:rFonts w:ascii="Arial" w:cs="Arial" w:eastAsia="Arial" w:hAnsi="Arial"/>
          <w:sz w:val="16"/>
          <w:szCs w:val="16"/>
          <w:color w:val="auto"/>
        </w:rPr>
      </w:pPr>
    </w:p>
    <w:p>
      <w:pPr>
        <w:ind w:left="540" w:right="20" w:hanging="424"/>
        <w:spacing w:after="0" w:line="301"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time-based RSUs awarded in January 2019 valued at $59.64 per share, which was our closing stock price as of December 31, 2019. These RSUs are eligible to vest on January 25, 2022. Mr. Yunker’s RSUs were awarded in May 2019 and 30,400 vest on May 2, 2020 and 15,228 vest on May 2, 2022.</w:t>
      </w:r>
    </w:p>
    <w:p>
      <w:pPr>
        <w:spacing w:after="0" w:line="1" w:lineRule="exact"/>
        <w:rPr>
          <w:rFonts w:ascii="Arial" w:cs="Arial" w:eastAsia="Arial" w:hAnsi="Arial"/>
          <w:sz w:val="14"/>
          <w:szCs w:val="14"/>
          <w:color w:val="auto"/>
        </w:rPr>
      </w:pPr>
    </w:p>
    <w:p>
      <w:pPr>
        <w:ind w:left="540" w:hanging="424"/>
        <w:spacing w:after="0" w:line="288" w:lineRule="auto"/>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time-based RSUs awarded in October 2018 valued at $59.64 per share, which was our closing stock price as of December 31, 2019. These RSUs are eligible to vest on October 24, 2023.</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Option Exercises and Stock Vested Table</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following table sets forth information regarding the exercise of stock options and the vesting of stock awards for each of our Named Executive Officers during the fiscal year ended December 31, 2019.</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58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Option awards</w:t>
            </w:r>
          </w:p>
        </w:tc>
        <w:tc>
          <w:tcPr>
            <w:tcW w:w="70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797"/>
              <w:spacing w:after="0"/>
              <w:rPr>
                <w:sz w:val="20"/>
                <w:szCs w:val="20"/>
                <w:color w:val="auto"/>
              </w:rPr>
            </w:pPr>
            <w:r>
              <w:rPr>
                <w:rFonts w:ascii="Arial" w:cs="Arial" w:eastAsia="Arial" w:hAnsi="Arial"/>
                <w:sz w:val="14"/>
                <w:szCs w:val="14"/>
                <w:b w:val="1"/>
                <w:bCs w:val="1"/>
                <w:color w:val="auto"/>
              </w:rPr>
              <w:t>Stock awards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700" w:type="dxa"/>
            <w:vAlign w:val="bottom"/>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rPr>
              <w:t>Number of</w:t>
            </w:r>
          </w:p>
        </w:tc>
        <w:tc>
          <w:tcPr>
            <w:tcW w:w="158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2"/>
              </w:rPr>
              <w:t>Value realized</w:t>
            </w:r>
          </w:p>
        </w:tc>
        <w:tc>
          <w:tcPr>
            <w:tcW w:w="1700" w:type="dxa"/>
            <w:vAlign w:val="bottom"/>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rPr>
              <w:t>Number of</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Value realized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shares acquired</w:t>
            </w:r>
          </w:p>
        </w:tc>
        <w:tc>
          <w:tcPr>
            <w:tcW w:w="1580" w:type="dxa"/>
            <w:vAlign w:val="bottom"/>
            <w:gridSpan w:val="2"/>
            <w:vMerge w:val="continue"/>
          </w:tcPr>
          <w:p>
            <w:pPr>
              <w:spacing w:after="0"/>
              <w:rPr>
                <w:sz w:val="12"/>
                <w:szCs w:val="12"/>
                <w:color w:val="auto"/>
              </w:rPr>
            </w:pPr>
          </w:p>
        </w:tc>
        <w:tc>
          <w:tcPr>
            <w:tcW w:w="17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9"/>
              </w:rPr>
              <w:t>shares acquired</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7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on exercise</w:t>
            </w:r>
          </w:p>
        </w:tc>
        <w:tc>
          <w:tcPr>
            <w:tcW w:w="15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on exercise</w:t>
            </w:r>
          </w:p>
        </w:tc>
        <w:tc>
          <w:tcPr>
            <w:tcW w:w="17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on vesting</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on vesting</w:t>
            </w:r>
          </w:p>
        </w:tc>
        <w:tc>
          <w:tcPr>
            <w:tcW w:w="0" w:type="dxa"/>
            <w:vAlign w:val="bottom"/>
          </w:tcPr>
          <w:p>
            <w:pPr>
              <w:spacing w:after="0"/>
              <w:rPr>
                <w:sz w:val="1"/>
                <w:szCs w:val="1"/>
                <w:color w:val="auto"/>
              </w:rPr>
            </w:pPr>
          </w:p>
        </w:tc>
      </w:tr>
      <w:tr>
        <w:trPr>
          <w:trHeight w:val="158"/>
        </w:trPr>
        <w:tc>
          <w:tcPr>
            <w:tcW w:w="4220" w:type="dxa"/>
            <w:vAlign w:val="bottom"/>
            <w:gridSpan w:val="2"/>
            <w:vMerge w:val="continue"/>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3"/>
                <w:szCs w:val="13"/>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3"/>
                <w:szCs w:val="13"/>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Gary L. Carano</w:t>
            </w:r>
          </w:p>
        </w:tc>
        <w:tc>
          <w:tcPr>
            <w:tcW w:w="980" w:type="dxa"/>
            <w:vAlign w:val="bottom"/>
            <w:shd w:val="clear" w:color="auto" w:fill="CCEEFF"/>
          </w:tcPr>
          <w:p>
            <w:pPr>
              <w:ind w:left="700"/>
              <w:spacing w:after="0" w:line="203"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82,347</w:t>
            </w: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3,180,424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Thomas R. Reeg</w:t>
            </w:r>
          </w:p>
        </w:tc>
        <w:tc>
          <w:tcPr>
            <w:tcW w:w="17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59,473</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2,296,978</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L. Carano</w:t>
            </w:r>
          </w:p>
        </w:tc>
        <w:tc>
          <w:tcPr>
            <w:tcW w:w="17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21,959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848,105</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Edmund L. Quatmann, Jr.</w:t>
            </w:r>
          </w:p>
        </w:tc>
        <w:tc>
          <w:tcPr>
            <w:tcW w:w="17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Bret Yunker</w:t>
            </w:r>
          </w:p>
        </w:tc>
        <w:tc>
          <w:tcPr>
            <w:tcW w:w="17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30,400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1,423,936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40" w:hanging="424"/>
        <w:spacing w:after="0" w:line="263"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Value realized was computed by multiplying the number of RSUs and PSUs that vested during 2019 for the applicable NEOs, multiplied by the closing stock price of the underlying shares of our common stock on the applicable vesting date. Shares that have vested remain subject to the applicable stock ownership guidelines.</w:t>
      </w:r>
    </w:p>
    <w:p>
      <w:pPr>
        <w:spacing w:after="0" w:line="1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20"/>
          </w:cols>
          <w:pgMar w:left="320" w:top="459" w:right="6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 Table</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following table describes and quantifies certain compensation that would become payable under existing agreements, plans and arrangements, with named executive officers, if the triggering event occurred on December 31, 2019, given compensation levels as of such date and, if applicable, based on our closing stock price on that date.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Involuntary</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Without</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Change</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Involuntary</w:t>
            </w:r>
          </w:p>
        </w:tc>
        <w:tc>
          <w:tcPr>
            <w:tcW w:w="16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Cause or</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Change in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Compensation</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For</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in</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7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8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5"/>
              </w:rPr>
              <w:t>Voluntary($</w:t>
            </w:r>
            <w:r>
              <w:rPr>
                <w:rFonts w:ascii="Arial" w:cs="Arial" w:eastAsia="Arial" w:hAnsi="Arial"/>
                <w:sz w:val="14"/>
                <w:szCs w:val="14"/>
                <w:b w:val="1"/>
                <w:bCs w:val="1"/>
                <w:color w:val="auto"/>
                <w:w w:val="95"/>
              </w:rPr>
              <w:t>)</w:t>
            </w:r>
          </w:p>
        </w:tc>
        <w:tc>
          <w:tcPr>
            <w:tcW w:w="160" w:type="dxa"/>
            <w:vAlign w:val="bottom"/>
          </w:tcPr>
          <w:p>
            <w:pPr>
              <w:spacing w:after="0"/>
              <w:rPr>
                <w:sz w:val="12"/>
                <w:szCs w:val="12"/>
                <w:color w:val="auto"/>
              </w:rPr>
            </w:pPr>
          </w:p>
        </w:tc>
        <w:tc>
          <w:tcPr>
            <w:tcW w:w="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With</w:t>
            </w:r>
          </w:p>
        </w:tc>
        <w:tc>
          <w:tcPr>
            <w:tcW w:w="160" w:type="dxa"/>
            <w:vAlign w:val="bottom"/>
          </w:tcPr>
          <w:p>
            <w:pPr>
              <w:spacing w:after="0"/>
              <w:rPr>
                <w:sz w:val="12"/>
                <w:szCs w:val="12"/>
                <w:color w:val="auto"/>
              </w:rPr>
            </w:pPr>
          </w:p>
        </w:tc>
        <w:tc>
          <w:tcPr>
            <w:tcW w:w="108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2"/>
              </w:rPr>
              <w:t>Good</w:t>
            </w: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Death($)</w:t>
            </w: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u w:val="single" w:color="auto"/>
                <w:color w:val="auto"/>
                <w:w w:val="95"/>
              </w:rPr>
              <w:t>Disability($</w:t>
            </w:r>
            <w:r>
              <w:rPr>
                <w:rFonts w:ascii="Arial" w:cs="Arial" w:eastAsia="Arial" w:hAnsi="Arial"/>
                <w:sz w:val="14"/>
                <w:szCs w:val="14"/>
                <w:b w:val="1"/>
                <w:bCs w:val="1"/>
                <w:color w:val="auto"/>
                <w:w w:val="95"/>
              </w:rPr>
              <w:t>)</w:t>
            </w:r>
          </w:p>
        </w:tc>
        <w:tc>
          <w:tcPr>
            <w:tcW w:w="8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5"/>
              </w:rPr>
              <w:t>Control($)</w:t>
            </w:r>
          </w:p>
        </w:tc>
        <w:tc>
          <w:tcPr>
            <w:tcW w:w="11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5"/>
              </w:rPr>
              <w:t>Control with</w:t>
            </w:r>
          </w:p>
        </w:tc>
        <w:tc>
          <w:tcPr>
            <w:tcW w:w="0" w:type="dxa"/>
            <w:vAlign w:val="bottom"/>
          </w:tcPr>
          <w:p>
            <w:pPr>
              <w:spacing w:after="0"/>
              <w:rPr>
                <w:sz w:val="1"/>
                <w:szCs w:val="1"/>
                <w:color w:val="auto"/>
              </w:rPr>
            </w:pPr>
          </w:p>
        </w:tc>
      </w:tr>
      <w:tr>
        <w:trPr>
          <w:trHeight w:val="182"/>
        </w:trPr>
        <w:tc>
          <w:tcPr>
            <w:tcW w:w="360" w:type="dxa"/>
            <w:vAlign w:val="bottom"/>
            <w:tcBorders>
              <w:bottom w:val="single" w:sz="8" w:color="auto"/>
            </w:tcBorders>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Components</w:t>
            </w:r>
          </w:p>
        </w:tc>
        <w:tc>
          <w:tcPr>
            <w:tcW w:w="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Cause($)</w:t>
            </w:r>
          </w:p>
        </w:tc>
        <w:tc>
          <w:tcPr>
            <w:tcW w:w="16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Reason($)</w:t>
            </w:r>
          </w:p>
        </w:tc>
        <w:tc>
          <w:tcPr>
            <w:tcW w:w="10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(9)</w:t>
            </w:r>
          </w:p>
        </w:tc>
        <w:tc>
          <w:tcPr>
            <w:tcW w:w="16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u w:val="single" w:color="auto"/>
                <w:color w:val="auto"/>
                <w:w w:val="96"/>
              </w:rPr>
              <w:t>Termination($</w:t>
            </w: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17"/>
        </w:trPr>
        <w:tc>
          <w:tcPr>
            <w:tcW w:w="2080" w:type="dxa"/>
            <w:vAlign w:val="bottom"/>
            <w:tcBorders>
              <w:top w:val="single" w:sz="8" w:color="CCEEFF"/>
            </w:tcBorders>
            <w:gridSpan w:val="2"/>
            <w:shd w:val="clear" w:color="auto" w:fill="CCEEFF"/>
          </w:tcPr>
          <w:p>
            <w:pPr>
              <w:spacing w:after="0" w:line="117" w:lineRule="exact"/>
              <w:rPr>
                <w:sz w:val="20"/>
                <w:szCs w:val="20"/>
                <w:color w:val="auto"/>
              </w:rPr>
            </w:pPr>
            <w:r>
              <w:rPr>
                <w:rFonts w:ascii="Arial" w:cs="Arial" w:eastAsia="Arial" w:hAnsi="Arial"/>
                <w:sz w:val="13"/>
                <w:szCs w:val="13"/>
                <w:color w:val="auto"/>
              </w:rPr>
              <w:t>Gary L. Carano</w:t>
            </w:r>
          </w:p>
        </w:tc>
        <w:tc>
          <w:tcPr>
            <w:tcW w:w="120" w:type="dxa"/>
            <w:vAlign w:val="bottom"/>
            <w:tcBorders>
              <w:top w:val="single" w:sz="8" w:color="CCEEFF"/>
            </w:tcBorders>
            <w:shd w:val="clear" w:color="auto" w:fill="CCEEFF"/>
          </w:tcPr>
          <w:p>
            <w:pPr>
              <w:spacing w:after="0"/>
              <w:rPr>
                <w:sz w:val="10"/>
                <w:szCs w:val="10"/>
                <w:color w:val="auto"/>
              </w:rPr>
            </w:pPr>
          </w:p>
        </w:tc>
        <w:tc>
          <w:tcPr>
            <w:tcW w:w="1620" w:type="dxa"/>
            <w:vAlign w:val="bottom"/>
            <w:tcBorders>
              <w:top w:val="single" w:sz="8" w:color="auto"/>
            </w:tcBorders>
            <w:shd w:val="clear" w:color="auto" w:fill="CCEEFF"/>
          </w:tcPr>
          <w:p>
            <w:pPr>
              <w:jc w:val="center"/>
              <w:spacing w:after="0" w:line="117" w:lineRule="exact"/>
              <w:rPr>
                <w:sz w:val="20"/>
                <w:szCs w:val="20"/>
                <w:color w:val="auto"/>
              </w:rPr>
            </w:pPr>
            <w:r>
              <w:rPr>
                <w:rFonts w:ascii="Arial" w:cs="Arial" w:eastAsia="Arial" w:hAnsi="Arial"/>
                <w:sz w:val="13"/>
                <w:szCs w:val="13"/>
                <w:color w:val="auto"/>
                <w:w w:val="95"/>
              </w:rPr>
              <w:t>Cash Severance</w:t>
            </w:r>
          </w:p>
        </w:tc>
        <w:tc>
          <w:tcPr>
            <w:tcW w:w="1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ind w:left="580"/>
              <w:spacing w:after="0" w:line="117"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ind w:left="520"/>
              <w:spacing w:after="0" w:line="117"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w w:val="97"/>
              </w:rPr>
              <w:t>4,846,875(2)</w:t>
            </w:r>
          </w:p>
        </w:tc>
        <w:tc>
          <w:tcPr>
            <w:tcW w:w="3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w w:val="89"/>
              </w:rPr>
              <w:t>2,509,375(1)</w:t>
            </w:r>
          </w:p>
        </w:tc>
        <w:tc>
          <w:tcPr>
            <w:tcW w:w="3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2,509,375(1)</w:t>
            </w:r>
          </w:p>
        </w:tc>
        <w:tc>
          <w:tcPr>
            <w:tcW w:w="3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8,559,375(6)</w:t>
            </w:r>
          </w:p>
        </w:tc>
        <w:tc>
          <w:tcPr>
            <w:tcW w:w="2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3"/>
              </w:rPr>
              <w:t>Other Benefits</w:t>
            </w:r>
          </w:p>
        </w:tc>
        <w:tc>
          <w:tcPr>
            <w:tcW w:w="8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31,989(2)</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1,000,000(7)</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11,326(4)</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22,652(6)</w:t>
            </w:r>
          </w:p>
        </w:tc>
        <w:tc>
          <w:tcPr>
            <w:tcW w:w="0" w:type="dxa"/>
            <w:vAlign w:val="bottom"/>
          </w:tcPr>
          <w:p>
            <w:pPr>
              <w:spacing w:after="0"/>
              <w:rPr>
                <w:sz w:val="1"/>
                <w:szCs w:val="1"/>
                <w:color w:val="auto"/>
              </w:rPr>
            </w:pPr>
          </w:p>
        </w:tc>
      </w:tr>
      <w:tr>
        <w:trPr>
          <w:trHeight w:val="167"/>
        </w:trPr>
        <w:tc>
          <w:tcPr>
            <w:tcW w:w="208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Restricted Stock Units(8)</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16,349,710</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94"/>
              </w:rPr>
              <w:t>16,349,710</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16,349,710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4"/>
              </w:rPr>
              <w:t>16,349,710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16,349,710</w:t>
            </w:r>
          </w:p>
        </w:tc>
        <w:tc>
          <w:tcPr>
            <w:tcW w:w="0" w:type="dxa"/>
            <w:vAlign w:val="bottom"/>
          </w:tcPr>
          <w:p>
            <w:pPr>
              <w:spacing w:after="0"/>
              <w:rPr>
                <w:sz w:val="1"/>
                <w:szCs w:val="1"/>
                <w:color w:val="auto"/>
              </w:rPr>
            </w:pPr>
          </w:p>
        </w:tc>
      </w:tr>
      <w:tr>
        <w:trPr>
          <w:trHeight w:val="20"/>
        </w:trPr>
        <w:tc>
          <w:tcPr>
            <w:tcW w:w="2080" w:type="dxa"/>
            <w:vAlign w:val="bottom"/>
            <w:gridSpan w:val="2"/>
            <w:vMerge w:val="continue"/>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ind w:left="580"/>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ind w:left="520"/>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line="155" w:lineRule="exact"/>
              <w:rPr>
                <w:sz w:val="20"/>
                <w:szCs w:val="20"/>
                <w:color w:val="auto"/>
              </w:rPr>
            </w:pPr>
            <w:r>
              <w:rPr>
                <w:rFonts w:ascii="Arial" w:cs="Arial" w:eastAsia="Arial" w:hAnsi="Arial"/>
                <w:sz w:val="14"/>
                <w:szCs w:val="14"/>
                <w:color w:val="auto"/>
              </w:rPr>
              <w:t>21,228,574</w:t>
            </w:r>
          </w:p>
        </w:tc>
        <w:tc>
          <w:tcPr>
            <w:tcW w:w="1020" w:type="dxa"/>
            <w:vAlign w:val="bottom"/>
            <w:gridSpan w:val="2"/>
            <w:shd w:val="clear" w:color="auto" w:fill="CCEEFF"/>
          </w:tcPr>
          <w:p>
            <w:pPr>
              <w:jc w:val="right"/>
              <w:ind w:right="340"/>
              <w:spacing w:after="0" w:line="155" w:lineRule="exact"/>
              <w:rPr>
                <w:sz w:val="20"/>
                <w:szCs w:val="20"/>
                <w:color w:val="auto"/>
              </w:rPr>
            </w:pPr>
            <w:r>
              <w:rPr>
                <w:rFonts w:ascii="Arial" w:cs="Arial" w:eastAsia="Arial" w:hAnsi="Arial"/>
                <w:sz w:val="14"/>
                <w:szCs w:val="14"/>
                <w:color w:val="auto"/>
                <w:w w:val="94"/>
              </w:rPr>
              <w:t>19,859,085</w:t>
            </w:r>
          </w:p>
        </w:tc>
        <w:tc>
          <w:tcPr>
            <w:tcW w:w="1120" w:type="dxa"/>
            <w:vAlign w:val="bottom"/>
            <w:gridSpan w:val="2"/>
            <w:shd w:val="clear" w:color="auto" w:fill="CCEEFF"/>
          </w:tcPr>
          <w:p>
            <w:pPr>
              <w:jc w:val="right"/>
              <w:ind w:right="340"/>
              <w:spacing w:after="0" w:line="155" w:lineRule="exact"/>
              <w:rPr>
                <w:sz w:val="20"/>
                <w:szCs w:val="20"/>
                <w:color w:val="auto"/>
              </w:rPr>
            </w:pPr>
            <w:r>
              <w:rPr>
                <w:rFonts w:ascii="Arial" w:cs="Arial" w:eastAsia="Arial" w:hAnsi="Arial"/>
                <w:sz w:val="14"/>
                <w:szCs w:val="14"/>
                <w:color w:val="auto"/>
              </w:rPr>
              <w:t>18,870,411</w:t>
            </w:r>
          </w:p>
        </w:tc>
        <w:tc>
          <w:tcPr>
            <w:tcW w:w="84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w w:val="94"/>
              </w:rPr>
              <w:t>16,349,710</w:t>
            </w:r>
          </w:p>
        </w:tc>
        <w:tc>
          <w:tcPr>
            <w:tcW w:w="1160" w:type="dxa"/>
            <w:vAlign w:val="bottom"/>
            <w:gridSpan w:val="2"/>
            <w:shd w:val="clear" w:color="auto" w:fill="CCEEFF"/>
          </w:tcPr>
          <w:p>
            <w:pPr>
              <w:jc w:val="right"/>
              <w:ind w:right="220"/>
              <w:spacing w:after="0" w:line="155" w:lineRule="exact"/>
              <w:rPr>
                <w:sz w:val="20"/>
                <w:szCs w:val="20"/>
                <w:color w:val="auto"/>
              </w:rPr>
            </w:pPr>
            <w:r>
              <w:rPr>
                <w:rFonts w:ascii="Arial" w:cs="Arial" w:eastAsia="Arial" w:hAnsi="Arial"/>
                <w:sz w:val="14"/>
                <w:szCs w:val="14"/>
                <w:color w:val="auto"/>
              </w:rPr>
              <w:t>24,931,737</w:t>
            </w:r>
          </w:p>
        </w:tc>
        <w:tc>
          <w:tcPr>
            <w:tcW w:w="0" w:type="dxa"/>
            <w:vAlign w:val="bottom"/>
          </w:tcPr>
          <w:p>
            <w:pPr>
              <w:spacing w:after="0"/>
              <w:rPr>
                <w:sz w:val="1"/>
                <w:szCs w:val="1"/>
                <w:color w:val="auto"/>
              </w:rPr>
            </w:pPr>
          </w:p>
        </w:tc>
      </w:tr>
      <w:tr>
        <w:trPr>
          <w:trHeight w:val="238"/>
        </w:trPr>
        <w:tc>
          <w:tcPr>
            <w:tcW w:w="2080" w:type="dxa"/>
            <w:vAlign w:val="bottom"/>
            <w:gridSpan w:val="2"/>
          </w:tcPr>
          <w:p>
            <w:pPr>
              <w:spacing w:after="0"/>
              <w:rPr>
                <w:sz w:val="20"/>
                <w:szCs w:val="20"/>
                <w:color w:val="auto"/>
              </w:rPr>
            </w:pPr>
            <w:r>
              <w:rPr>
                <w:rFonts w:ascii="Arial" w:cs="Arial" w:eastAsia="Arial" w:hAnsi="Arial"/>
                <w:sz w:val="14"/>
                <w:szCs w:val="14"/>
                <w:color w:val="auto"/>
              </w:rPr>
              <w:t>Thomas R. Reeg</w:t>
            </w:r>
          </w:p>
        </w:tc>
        <w:tc>
          <w:tcPr>
            <w:tcW w:w="120" w:type="dxa"/>
            <w:vAlign w:val="bottom"/>
          </w:tcPr>
          <w:p>
            <w:pPr>
              <w:spacing w:after="0"/>
              <w:rPr>
                <w:sz w:val="20"/>
                <w:szCs w:val="20"/>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Cash Severance</w:t>
            </w:r>
          </w:p>
        </w:tc>
        <w:tc>
          <w:tcPr>
            <w:tcW w:w="800" w:type="dxa"/>
            <w:vAlign w:val="bottom"/>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160"/>
              <w:spacing w:after="0"/>
              <w:rPr>
                <w:sz w:val="20"/>
                <w:szCs w:val="20"/>
                <w:color w:val="auto"/>
              </w:rPr>
            </w:pPr>
            <w:r>
              <w:rPr>
                <w:rFonts w:ascii="Arial" w:cs="Arial" w:eastAsia="Arial" w:hAnsi="Arial"/>
                <w:sz w:val="14"/>
                <w:szCs w:val="14"/>
                <w:color w:val="auto"/>
              </w:rPr>
              <w:t>5,980,000(3)</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4,380,000(1)</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4,380,000(1)</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13,980,000(6)</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Other Benefits</w:t>
            </w:r>
          </w:p>
        </w:tc>
        <w:tc>
          <w:tcPr>
            <w:tcW w:w="80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25,405(3)</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1,000,000(7)</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15,405(4)</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30,810(6)</w:t>
            </w:r>
          </w:p>
        </w:tc>
        <w:tc>
          <w:tcPr>
            <w:tcW w:w="0" w:type="dxa"/>
            <w:vAlign w:val="bottom"/>
          </w:tcPr>
          <w:p>
            <w:pPr>
              <w:spacing w:after="0"/>
              <w:rPr>
                <w:sz w:val="1"/>
                <w:szCs w:val="1"/>
                <w:color w:val="auto"/>
              </w:rPr>
            </w:pPr>
          </w:p>
        </w:tc>
      </w:tr>
      <w:tr>
        <w:trPr>
          <w:trHeight w:val="167"/>
        </w:trPr>
        <w:tc>
          <w:tcPr>
            <w:tcW w:w="2080" w:type="dxa"/>
            <w:vAlign w:val="bottom"/>
            <w:gridSpan w:val="2"/>
            <w:vMerge w:val="restart"/>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4"/>
                <w:szCs w:val="14"/>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Restricted Stock Units(8)</w:t>
            </w:r>
          </w:p>
        </w:tc>
        <w:tc>
          <w:tcPr>
            <w:tcW w:w="800" w:type="dxa"/>
            <w:vAlign w:val="bottom"/>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340"/>
              <w:spacing w:after="0"/>
              <w:rPr>
                <w:sz w:val="20"/>
                <w:szCs w:val="20"/>
                <w:color w:val="auto"/>
              </w:rPr>
            </w:pPr>
            <w:r>
              <w:rPr>
                <w:rFonts w:ascii="Arial" w:cs="Arial" w:eastAsia="Arial" w:hAnsi="Arial"/>
                <w:sz w:val="14"/>
                <w:szCs w:val="14"/>
                <w:color w:val="auto"/>
              </w:rPr>
              <w:t>18,710,022</w:t>
            </w: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w w:val="94"/>
              </w:rPr>
              <w:t>18,710,022</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18,710,022</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18,710,022</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18,710,022</w:t>
            </w:r>
          </w:p>
        </w:tc>
        <w:tc>
          <w:tcPr>
            <w:tcW w:w="0" w:type="dxa"/>
            <w:vAlign w:val="bottom"/>
          </w:tcPr>
          <w:p>
            <w:pPr>
              <w:spacing w:after="0"/>
              <w:rPr>
                <w:sz w:val="1"/>
                <w:szCs w:val="1"/>
                <w:color w:val="auto"/>
              </w:rPr>
            </w:pPr>
          </w:p>
        </w:tc>
      </w:tr>
      <w:tr>
        <w:trPr>
          <w:trHeight w:val="176"/>
        </w:trPr>
        <w:tc>
          <w:tcPr>
            <w:tcW w:w="2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Borders>
              <w:top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24,715,427</w:t>
            </w:r>
          </w:p>
        </w:tc>
        <w:tc>
          <w:tcPr>
            <w:tcW w:w="34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24,090,022</w:t>
            </w:r>
          </w:p>
        </w:tc>
        <w:tc>
          <w:tcPr>
            <w:tcW w:w="34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23,105,427</w:t>
            </w:r>
          </w:p>
        </w:tc>
        <w:tc>
          <w:tcPr>
            <w:tcW w:w="34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18,710,022</w:t>
            </w:r>
          </w:p>
        </w:tc>
        <w:tc>
          <w:tcPr>
            <w:tcW w:w="16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32,720,832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3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40" w:type="dxa"/>
            <w:vAlign w:val="bottom"/>
            <w:gridSpan w:val="2"/>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Anthony L. Carano</w:t>
            </w:r>
          </w:p>
        </w:tc>
        <w:tc>
          <w:tcPr>
            <w:tcW w:w="12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88"/>
              </w:rPr>
              <w:t>Cash Severance</w:t>
            </w:r>
          </w:p>
        </w:tc>
        <w:tc>
          <w:tcPr>
            <w:tcW w:w="800" w:type="dxa"/>
            <w:vAlign w:val="bottom"/>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3,281,250(3)</w:t>
            </w:r>
          </w:p>
        </w:tc>
        <w:tc>
          <w:tcPr>
            <w:tcW w:w="10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2,281,250(1)</w:t>
            </w:r>
          </w:p>
        </w:tc>
        <w:tc>
          <w:tcPr>
            <w:tcW w:w="11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2,281,250(1)</w:t>
            </w:r>
          </w:p>
        </w:tc>
        <w:tc>
          <w:tcPr>
            <w:tcW w:w="8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5,531,250(5)</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3"/>
              </w:rPr>
              <w:t>Other Benefits</w:t>
            </w:r>
          </w:p>
        </w:tc>
        <w:tc>
          <w:tcPr>
            <w:tcW w:w="8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26,621(3)</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1,000,000(7)</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16,621(4)</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24,931(5)</w:t>
            </w:r>
          </w:p>
        </w:tc>
        <w:tc>
          <w:tcPr>
            <w:tcW w:w="0" w:type="dxa"/>
            <w:vAlign w:val="bottom"/>
          </w:tcPr>
          <w:p>
            <w:pPr>
              <w:spacing w:after="0"/>
              <w:rPr>
                <w:sz w:val="1"/>
                <w:szCs w:val="1"/>
                <w:color w:val="auto"/>
              </w:rPr>
            </w:pPr>
          </w:p>
        </w:tc>
      </w:tr>
      <w:tr>
        <w:trPr>
          <w:trHeight w:val="167"/>
        </w:trPr>
        <w:tc>
          <w:tcPr>
            <w:tcW w:w="208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Restricted Stock Units(8)</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9,459,201</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9,459,201</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9,459,201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9,459,201</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9,459,201</w:t>
            </w:r>
          </w:p>
        </w:tc>
        <w:tc>
          <w:tcPr>
            <w:tcW w:w="0" w:type="dxa"/>
            <w:vAlign w:val="bottom"/>
          </w:tcPr>
          <w:p>
            <w:pPr>
              <w:spacing w:after="0"/>
              <w:rPr>
                <w:sz w:val="1"/>
                <w:szCs w:val="1"/>
                <w:color w:val="auto"/>
              </w:rPr>
            </w:pPr>
          </w:p>
        </w:tc>
      </w:tr>
      <w:tr>
        <w:trPr>
          <w:trHeight w:val="20"/>
        </w:trPr>
        <w:tc>
          <w:tcPr>
            <w:tcW w:w="2080" w:type="dxa"/>
            <w:vAlign w:val="bottom"/>
            <w:gridSpan w:val="2"/>
            <w:vMerge w:val="continue"/>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ind w:left="580"/>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ind w:left="520"/>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line="155" w:lineRule="exact"/>
              <w:rPr>
                <w:sz w:val="20"/>
                <w:szCs w:val="20"/>
                <w:color w:val="auto"/>
              </w:rPr>
            </w:pPr>
            <w:r>
              <w:rPr>
                <w:rFonts w:ascii="Arial" w:cs="Arial" w:eastAsia="Arial" w:hAnsi="Arial"/>
                <w:sz w:val="14"/>
                <w:szCs w:val="14"/>
                <w:color w:val="auto"/>
              </w:rPr>
              <w:t>12,767,072</w:t>
            </w:r>
          </w:p>
        </w:tc>
        <w:tc>
          <w:tcPr>
            <w:tcW w:w="1020" w:type="dxa"/>
            <w:vAlign w:val="bottom"/>
            <w:gridSpan w:val="2"/>
            <w:shd w:val="clear" w:color="auto" w:fill="CCEEFF"/>
          </w:tcPr>
          <w:p>
            <w:pPr>
              <w:jc w:val="right"/>
              <w:ind w:right="340"/>
              <w:spacing w:after="0" w:line="155" w:lineRule="exact"/>
              <w:rPr>
                <w:sz w:val="20"/>
                <w:szCs w:val="20"/>
                <w:color w:val="auto"/>
              </w:rPr>
            </w:pPr>
            <w:r>
              <w:rPr>
                <w:rFonts w:ascii="Arial" w:cs="Arial" w:eastAsia="Arial" w:hAnsi="Arial"/>
                <w:sz w:val="14"/>
                <w:szCs w:val="14"/>
                <w:color w:val="auto"/>
                <w:w w:val="94"/>
              </w:rPr>
              <w:t>12,740,461</w:t>
            </w:r>
          </w:p>
        </w:tc>
        <w:tc>
          <w:tcPr>
            <w:tcW w:w="1120" w:type="dxa"/>
            <w:vAlign w:val="bottom"/>
            <w:gridSpan w:val="2"/>
            <w:shd w:val="clear" w:color="auto" w:fill="CCEEFF"/>
          </w:tcPr>
          <w:p>
            <w:pPr>
              <w:jc w:val="right"/>
              <w:ind w:right="340"/>
              <w:spacing w:after="0" w:line="155" w:lineRule="exact"/>
              <w:rPr>
                <w:sz w:val="20"/>
                <w:szCs w:val="20"/>
                <w:color w:val="auto"/>
              </w:rPr>
            </w:pPr>
            <w:r>
              <w:rPr>
                <w:rFonts w:ascii="Arial" w:cs="Arial" w:eastAsia="Arial" w:hAnsi="Arial"/>
                <w:sz w:val="14"/>
                <w:szCs w:val="14"/>
                <w:color w:val="auto"/>
              </w:rPr>
              <w:t>11,757,072</w:t>
            </w:r>
          </w:p>
        </w:tc>
        <w:tc>
          <w:tcPr>
            <w:tcW w:w="84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9,459,201</w:t>
            </w:r>
          </w:p>
        </w:tc>
        <w:tc>
          <w:tcPr>
            <w:tcW w:w="1160" w:type="dxa"/>
            <w:vAlign w:val="bottom"/>
            <w:gridSpan w:val="2"/>
            <w:shd w:val="clear" w:color="auto" w:fill="CCEEFF"/>
          </w:tcPr>
          <w:p>
            <w:pPr>
              <w:jc w:val="right"/>
              <w:ind w:right="220"/>
              <w:spacing w:after="0" w:line="155" w:lineRule="exact"/>
              <w:rPr>
                <w:sz w:val="20"/>
                <w:szCs w:val="20"/>
                <w:color w:val="auto"/>
              </w:rPr>
            </w:pPr>
            <w:r>
              <w:rPr>
                <w:rFonts w:ascii="Arial" w:cs="Arial" w:eastAsia="Arial" w:hAnsi="Arial"/>
                <w:sz w:val="14"/>
                <w:szCs w:val="14"/>
                <w:color w:val="auto"/>
              </w:rPr>
              <w:t>15,015,382</w:t>
            </w:r>
          </w:p>
        </w:tc>
        <w:tc>
          <w:tcPr>
            <w:tcW w:w="0" w:type="dxa"/>
            <w:vAlign w:val="bottom"/>
          </w:tcPr>
          <w:p>
            <w:pPr>
              <w:spacing w:after="0"/>
              <w:rPr>
                <w:sz w:val="1"/>
                <w:szCs w:val="1"/>
                <w:color w:val="auto"/>
              </w:rPr>
            </w:pPr>
          </w:p>
        </w:tc>
      </w:tr>
      <w:tr>
        <w:trPr>
          <w:trHeight w:val="238"/>
        </w:trPr>
        <w:tc>
          <w:tcPr>
            <w:tcW w:w="2080" w:type="dxa"/>
            <w:vAlign w:val="bottom"/>
            <w:gridSpan w:val="2"/>
          </w:tcPr>
          <w:p>
            <w:pPr>
              <w:spacing w:after="0"/>
              <w:rPr>
                <w:sz w:val="20"/>
                <w:szCs w:val="20"/>
                <w:color w:val="auto"/>
              </w:rPr>
            </w:pPr>
            <w:r>
              <w:rPr>
                <w:rFonts w:ascii="Arial" w:cs="Arial" w:eastAsia="Arial" w:hAnsi="Arial"/>
                <w:sz w:val="14"/>
                <w:szCs w:val="14"/>
                <w:color w:val="auto"/>
              </w:rPr>
              <w:t>Edmund L. Quatmann, Jr.</w:t>
            </w:r>
          </w:p>
        </w:tc>
        <w:tc>
          <w:tcPr>
            <w:tcW w:w="120" w:type="dxa"/>
            <w:vAlign w:val="bottom"/>
          </w:tcPr>
          <w:p>
            <w:pPr>
              <w:spacing w:after="0"/>
              <w:rPr>
                <w:sz w:val="20"/>
                <w:szCs w:val="20"/>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Cash Severance</w:t>
            </w:r>
          </w:p>
        </w:tc>
        <w:tc>
          <w:tcPr>
            <w:tcW w:w="800" w:type="dxa"/>
            <w:vAlign w:val="bottom"/>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160"/>
              <w:spacing w:after="0"/>
              <w:rPr>
                <w:sz w:val="20"/>
                <w:szCs w:val="20"/>
                <w:color w:val="auto"/>
              </w:rPr>
            </w:pPr>
            <w:r>
              <w:rPr>
                <w:rFonts w:ascii="Arial" w:cs="Arial" w:eastAsia="Arial" w:hAnsi="Arial"/>
                <w:sz w:val="14"/>
                <w:szCs w:val="14"/>
                <w:color w:val="auto"/>
              </w:rPr>
              <w:t>1,421,250(3)</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821,250(1)</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821,250(1)</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2,471,250(5)</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Other Benefits</w:t>
            </w:r>
          </w:p>
        </w:tc>
        <w:tc>
          <w:tcPr>
            <w:tcW w:w="80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26,673(3)</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1,000,000(7)</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16,673(4)</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25,009(5)</w:t>
            </w:r>
          </w:p>
        </w:tc>
        <w:tc>
          <w:tcPr>
            <w:tcW w:w="0" w:type="dxa"/>
            <w:vAlign w:val="bottom"/>
          </w:tcPr>
          <w:p>
            <w:pPr>
              <w:spacing w:after="0"/>
              <w:rPr>
                <w:sz w:val="1"/>
                <w:szCs w:val="1"/>
                <w:color w:val="auto"/>
              </w:rPr>
            </w:pPr>
          </w:p>
        </w:tc>
      </w:tr>
      <w:tr>
        <w:trPr>
          <w:trHeight w:val="167"/>
        </w:trPr>
        <w:tc>
          <w:tcPr>
            <w:tcW w:w="2080" w:type="dxa"/>
            <w:vAlign w:val="bottom"/>
            <w:gridSpan w:val="2"/>
            <w:vMerge w:val="restart"/>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4"/>
                <w:szCs w:val="14"/>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Restricted Stock Units(8)</w:t>
            </w:r>
          </w:p>
        </w:tc>
        <w:tc>
          <w:tcPr>
            <w:tcW w:w="800" w:type="dxa"/>
            <w:vAlign w:val="bottom"/>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340"/>
              <w:spacing w:after="0"/>
              <w:rPr>
                <w:sz w:val="20"/>
                <w:szCs w:val="20"/>
                <w:color w:val="auto"/>
              </w:rPr>
            </w:pPr>
            <w:r>
              <w:rPr>
                <w:rFonts w:ascii="Arial" w:cs="Arial" w:eastAsia="Arial" w:hAnsi="Arial"/>
                <w:sz w:val="14"/>
                <w:szCs w:val="14"/>
                <w:color w:val="auto"/>
              </w:rPr>
              <w:t>2,498,678</w:t>
            </w: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2,498,678</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2,498,678</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2,498,678</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2,498,678</w:t>
            </w:r>
          </w:p>
        </w:tc>
        <w:tc>
          <w:tcPr>
            <w:tcW w:w="0" w:type="dxa"/>
            <w:vAlign w:val="bottom"/>
          </w:tcPr>
          <w:p>
            <w:pPr>
              <w:spacing w:after="0"/>
              <w:rPr>
                <w:sz w:val="1"/>
                <w:szCs w:val="1"/>
                <w:color w:val="auto"/>
              </w:rPr>
            </w:pPr>
          </w:p>
        </w:tc>
      </w:tr>
      <w:tr>
        <w:trPr>
          <w:trHeight w:val="176"/>
        </w:trPr>
        <w:tc>
          <w:tcPr>
            <w:tcW w:w="2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Borders>
              <w:top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3,946,601</w:t>
            </w:r>
          </w:p>
        </w:tc>
        <w:tc>
          <w:tcPr>
            <w:tcW w:w="34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4,319,928</w:t>
            </w:r>
          </w:p>
        </w:tc>
        <w:tc>
          <w:tcPr>
            <w:tcW w:w="34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3,336,601</w:t>
            </w:r>
          </w:p>
        </w:tc>
        <w:tc>
          <w:tcPr>
            <w:tcW w:w="34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2,498,678</w:t>
            </w:r>
          </w:p>
        </w:tc>
        <w:tc>
          <w:tcPr>
            <w:tcW w:w="16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4,994,937</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3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40" w:type="dxa"/>
            <w:vAlign w:val="bottom"/>
            <w:gridSpan w:val="2"/>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Bret Yunker</w:t>
            </w:r>
          </w:p>
        </w:tc>
        <w:tc>
          <w:tcPr>
            <w:tcW w:w="12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88"/>
              </w:rPr>
              <w:t>Cash Severance</w:t>
            </w:r>
          </w:p>
        </w:tc>
        <w:tc>
          <w:tcPr>
            <w:tcW w:w="800" w:type="dxa"/>
            <w:vAlign w:val="bottom"/>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1,912,500(3)</w:t>
            </w:r>
          </w:p>
        </w:tc>
        <w:tc>
          <w:tcPr>
            <w:tcW w:w="10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1,162,500(1)</w:t>
            </w:r>
          </w:p>
        </w:tc>
        <w:tc>
          <w:tcPr>
            <w:tcW w:w="11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1,162,500(1)</w:t>
            </w:r>
          </w:p>
        </w:tc>
        <w:tc>
          <w:tcPr>
            <w:tcW w:w="8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2,475,000(5)</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3"/>
              </w:rPr>
              <w:t>Other Benefits</w:t>
            </w:r>
          </w:p>
        </w:tc>
        <w:tc>
          <w:tcPr>
            <w:tcW w:w="8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15,118(3)</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1,000,000(7)</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5,118(4)</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7,678(5)</w:t>
            </w:r>
          </w:p>
        </w:tc>
        <w:tc>
          <w:tcPr>
            <w:tcW w:w="0" w:type="dxa"/>
            <w:vAlign w:val="bottom"/>
          </w:tcPr>
          <w:p>
            <w:pPr>
              <w:spacing w:after="0"/>
              <w:rPr>
                <w:sz w:val="1"/>
                <w:szCs w:val="1"/>
                <w:color w:val="auto"/>
              </w:rPr>
            </w:pPr>
          </w:p>
        </w:tc>
      </w:tr>
      <w:tr>
        <w:trPr>
          <w:trHeight w:val="167"/>
        </w:trPr>
        <w:tc>
          <w:tcPr>
            <w:tcW w:w="208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Restricted Stock Units(8)</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3,550,011</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3,550,011</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3,550,011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3,550,011</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3,550,011</w:t>
            </w:r>
          </w:p>
        </w:tc>
        <w:tc>
          <w:tcPr>
            <w:tcW w:w="0" w:type="dxa"/>
            <w:vAlign w:val="bottom"/>
          </w:tcPr>
          <w:p>
            <w:pPr>
              <w:spacing w:after="0"/>
              <w:rPr>
                <w:sz w:val="1"/>
                <w:szCs w:val="1"/>
                <w:color w:val="auto"/>
              </w:rPr>
            </w:pPr>
          </w:p>
        </w:tc>
      </w:tr>
      <w:tr>
        <w:trPr>
          <w:trHeight w:val="20"/>
        </w:trPr>
        <w:tc>
          <w:tcPr>
            <w:tcW w:w="2080" w:type="dxa"/>
            <w:vAlign w:val="bottom"/>
            <w:gridSpan w:val="2"/>
            <w:vMerge w:val="continue"/>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ind w:left="580"/>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ind w:left="520"/>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line="155" w:lineRule="exact"/>
              <w:rPr>
                <w:sz w:val="20"/>
                <w:szCs w:val="20"/>
                <w:color w:val="auto"/>
              </w:rPr>
            </w:pPr>
            <w:r>
              <w:rPr>
                <w:rFonts w:ascii="Arial" w:cs="Arial" w:eastAsia="Arial" w:hAnsi="Arial"/>
                <w:sz w:val="14"/>
                <w:szCs w:val="14"/>
                <w:color w:val="auto"/>
              </w:rPr>
              <w:t>5,477,629</w:t>
            </w:r>
          </w:p>
        </w:tc>
        <w:tc>
          <w:tcPr>
            <w:tcW w:w="1020" w:type="dxa"/>
            <w:vAlign w:val="bottom"/>
            <w:gridSpan w:val="2"/>
            <w:shd w:val="clear" w:color="auto" w:fill="CCEEFF"/>
          </w:tcPr>
          <w:p>
            <w:pPr>
              <w:jc w:val="right"/>
              <w:ind w:right="340"/>
              <w:spacing w:after="0" w:line="155" w:lineRule="exact"/>
              <w:rPr>
                <w:sz w:val="20"/>
                <w:szCs w:val="20"/>
                <w:color w:val="auto"/>
              </w:rPr>
            </w:pPr>
            <w:r>
              <w:rPr>
                <w:rFonts w:ascii="Arial" w:cs="Arial" w:eastAsia="Arial" w:hAnsi="Arial"/>
                <w:sz w:val="14"/>
                <w:szCs w:val="14"/>
                <w:color w:val="auto"/>
              </w:rPr>
              <w:t>5,712,511</w:t>
            </w:r>
          </w:p>
        </w:tc>
        <w:tc>
          <w:tcPr>
            <w:tcW w:w="1120" w:type="dxa"/>
            <w:vAlign w:val="bottom"/>
            <w:gridSpan w:val="2"/>
            <w:shd w:val="clear" w:color="auto" w:fill="CCEEFF"/>
          </w:tcPr>
          <w:p>
            <w:pPr>
              <w:jc w:val="right"/>
              <w:ind w:right="340"/>
              <w:spacing w:after="0" w:line="155" w:lineRule="exact"/>
              <w:rPr>
                <w:sz w:val="20"/>
                <w:szCs w:val="20"/>
                <w:color w:val="auto"/>
              </w:rPr>
            </w:pPr>
            <w:r>
              <w:rPr>
                <w:rFonts w:ascii="Arial" w:cs="Arial" w:eastAsia="Arial" w:hAnsi="Arial"/>
                <w:sz w:val="14"/>
                <w:szCs w:val="14"/>
                <w:color w:val="auto"/>
              </w:rPr>
              <w:t>4,717,629</w:t>
            </w:r>
          </w:p>
        </w:tc>
        <w:tc>
          <w:tcPr>
            <w:tcW w:w="84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3,550,011</w:t>
            </w:r>
          </w:p>
        </w:tc>
        <w:tc>
          <w:tcPr>
            <w:tcW w:w="1160" w:type="dxa"/>
            <w:vAlign w:val="bottom"/>
            <w:gridSpan w:val="2"/>
            <w:shd w:val="clear" w:color="auto" w:fill="CCEEFF"/>
          </w:tcPr>
          <w:p>
            <w:pPr>
              <w:jc w:val="right"/>
              <w:ind w:right="220"/>
              <w:spacing w:after="0" w:line="155" w:lineRule="exact"/>
              <w:rPr>
                <w:sz w:val="20"/>
                <w:szCs w:val="20"/>
                <w:color w:val="auto"/>
              </w:rPr>
            </w:pPr>
            <w:r>
              <w:rPr>
                <w:rFonts w:ascii="Arial" w:cs="Arial" w:eastAsia="Arial" w:hAnsi="Arial"/>
                <w:sz w:val="14"/>
                <w:szCs w:val="14"/>
                <w:color w:val="auto"/>
              </w:rPr>
              <w:t>6,032,689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540" w:right="40" w:hanging="424"/>
        <w:spacing w:after="0" w:line="230"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Amount represents (i) unpaid base salary, accrued and unused vacation, and unreimbursed business expenses through the date of termination (the “Accrued Rights”) and (ii) the annual incentive award earned and approved to be paid with respect to a fiscal period in which the termination date occurred (the “2019 bonus amount”).</w:t>
      </w:r>
    </w:p>
    <w:p>
      <w:pPr>
        <w:ind w:left="540" w:right="120" w:hanging="424"/>
        <w:spacing w:after="0" w:line="238" w:lineRule="auto"/>
        <w:tabs>
          <w:tab w:leader="none" w:pos="5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Amount represents (i) Accrued Rights, (ii) a lump-sum payment equal to 1.5 times the sum of the executive’s base salary and target annual incentive award, (iii) a lump-sum payment equal to 18 months of health benefits coverage, (iv) outplacement services for no more than 18 months in an amount not to exceed $15,000, and (v) the 2019 bonus amount.</w:t>
      </w:r>
    </w:p>
    <w:p>
      <w:pPr>
        <w:ind w:left="540" w:right="120" w:hanging="424"/>
        <w:spacing w:after="0" w:line="238" w:lineRule="auto"/>
        <w:tabs>
          <w:tab w:leader="none" w:pos="5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Amount represents (i) Accrued Rights, (ii) a lump-sum payment equal to 1.0 times the sum of the executive’s base salary and target annual incentive award, (iii) a lump-sum payment equal to 12 months of health benefits coverage, (iv) outplacement services for no more than 12 months and in an amount not to exceed $10,000, and (v) the 2019 bonus amount.</w:t>
      </w:r>
    </w:p>
    <w:p>
      <w:pPr>
        <w:ind w:left="540" w:hanging="424"/>
        <w:spacing w:after="0" w:line="221"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Amount represents a lump-sum payment equal to 12 months of health benefits coverage.</w:t>
      </w:r>
    </w:p>
    <w:p>
      <w:pPr>
        <w:ind w:left="540" w:right="320" w:hanging="424"/>
        <w:spacing w:after="0" w:line="238" w:lineRule="auto"/>
        <w:tabs>
          <w:tab w:leader="none" w:pos="5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Amounts represent (i) Accrued Rights, (ii) lump-sum payment equal to 2.0 times the sum of the executive’s base salary and target annual incentive award, (iii) lump-sum payment equal to 18 months of health coverage, assuming the executive’s employment was terminated by us without “cause” or by the executive with “good reason”, in each case, as of December 31, 2019, and that such termination was within two years following a “change in control” (as defined in the employment agreements), and (iv) the 2019 bonus amount.</w:t>
      </w:r>
    </w:p>
    <w:p>
      <w:pPr>
        <w:ind w:left="540" w:right="120" w:hanging="424"/>
        <w:spacing w:after="0" w:line="221"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Amounts represent (i) Accrued Rights, (ii) lump-sum payment equal to 2.99 times the sum of the executive’s base salary and target annual incentive award, (iii) lump-sum payment equal to 24 months of health coverage and (iv) outplacement services for no more than 24 months in an amount not to exceed $20,000, assuming Messrs. Gary L. Carano and Reeg’s employment was terminated by the us without “cause” or by the executive with “good reason” in each case, as of December 31, 2019, and that such termination was within two years following a “change in control” (as defined in the employment agreements), and (iv) the 2019 bonus amount.</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Amount represents, in the event of death, a life insurance policy specified per the terms of the employment agreement or benefit policy as approved by the Compensation Committee.</w:t>
      </w:r>
    </w:p>
    <w:p>
      <w:pPr>
        <w:ind w:left="540" w:right="40" w:hanging="424"/>
        <w:spacing w:after="0" w:line="237"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Amount represents the value of restricted stock units that would have vested in connection with the applicable triggering event, based on the closing market price of our common stock on December 31, 2019 of $59.64.</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80" w:hanging="424"/>
        <w:spacing w:after="0" w:line="255" w:lineRule="auto"/>
        <w:tabs>
          <w:tab w:leader="none" w:pos="5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Assumes that all RSUs and PSUs vest upon the consummation of a “change in control”, with PSUs vesting at target level with respect to any performance period which has not yet been completed. “</w:t>
      </w:r>
      <w:r>
        <w:rPr>
          <w:rFonts w:ascii="Arial" w:cs="Arial" w:eastAsia="Arial" w:hAnsi="Arial"/>
          <w:sz w:val="13"/>
          <w:szCs w:val="13"/>
          <w:i w:val="1"/>
          <w:iCs w:val="1"/>
          <w:color w:val="auto"/>
        </w:rPr>
        <w:t>Change in Control</w:t>
      </w:r>
      <w:r>
        <w:rPr>
          <w:rFonts w:ascii="Arial" w:cs="Arial" w:eastAsia="Arial" w:hAnsi="Arial"/>
          <w:sz w:val="13"/>
          <w:szCs w:val="13"/>
          <w:color w:val="auto"/>
        </w:rPr>
        <w:t>” is generally defined as (i) an acquisition of more than 50% of the shares of our common stock by an unaffiliated party, (ii) a majority change in the Board’s composition that is not approved by existing directors, (iii) a merger or similar event where our shareholders cease to be the majority owners of the resulting entity or our Board ceases to constitute a majority of the resulting entity Board, or (iv) shareholder approval of a complete liquidation or our dissolution.</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Chief Executive Officer Pay Ratio</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As required by Section 953(b) of the Dodd-Frank Wall Street and Consumer Protection Act and Item 402(u) of Regulation S-K, we are providing the following information about the relationship of the annual total compensation of Mr. Reeg, our Chief Executive Officer, and the annual total compensation of all of our employees. We believe this pay ratio is a reasonable estimate calculated in a manner consistent with Item 402(u) of Regulation S-K.</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determine the median of the total annual compensation of all of our employees, we utilized the following methodology:</w:t>
      </w:r>
    </w:p>
    <w:p>
      <w:pPr>
        <w:spacing w:after="0" w:line="117" w:lineRule="exact"/>
        <w:rPr>
          <w:sz w:val="20"/>
          <w:szCs w:val="20"/>
          <w:color w:val="auto"/>
        </w:rPr>
      </w:pPr>
    </w:p>
    <w:p>
      <w:pPr>
        <w:jc w:val="both"/>
        <w:ind w:left="120" w:right="320" w:firstLine="440"/>
        <w:spacing w:after="0" w:line="286" w:lineRule="auto"/>
        <w:rPr>
          <w:sz w:val="20"/>
          <w:szCs w:val="20"/>
          <w:color w:val="auto"/>
        </w:rPr>
      </w:pPr>
      <w:r>
        <w:rPr>
          <w:rFonts w:ascii="Arial" w:cs="Arial" w:eastAsia="Arial" w:hAnsi="Arial"/>
          <w:sz w:val="17"/>
          <w:szCs w:val="17"/>
          <w:color w:val="auto"/>
        </w:rPr>
        <w:t>For purposes of determining the median employee in respect of 2018, we determined that our employee population as of December 31, 2018 consisted of approximately 18,700 employees as reflected in our internal payroll records. This population included full-time, part-time and seasonal employees employed by us on that date. We did not exclude any employees from this population.</w:t>
      </w:r>
    </w:p>
    <w:p>
      <w:pPr>
        <w:spacing w:after="0" w:line="165"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To identify our median employee from this population for 2018, we used cash compensation paid during 2018, consisting of base cash salary for salaried employees and cash compensation paid at the applicable hourly rate for non-salaried employees, plus bonus payments, other cash-based wages and matching contributions to the employees’ 401k plan account for all employees. Certain of our non-salaried employees also may receive tip income, which we excluded for purposes of determining the median employee.</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Because there have not been any changes that we reasonably believe would significantly affect this year’s pay ratio as compared to last year’s, the applicable SEC rules permit us to use the same median employee identified last year (the “2018 Median Employee”) in order to calculate this year’s pay ratio. Based on our internal review procedures, and considering that we divested five properties in 2019 that reduced our number of employees by an immaterial percentage, we believe there has been no material changes in our employee population or employee compensation arrangements that we reasonably believe would result in a significant change to our pay ratio disclosure.</w:t>
      </w:r>
    </w:p>
    <w:p>
      <w:pPr>
        <w:spacing w:after="0" w:line="176"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determined that the 2018 Median Employee’s annual total compensation for 2019 was $31,173 and the annual total compensation of our CEO was $8,899,694 as shown in the “Total” column of the Summary Compensation Table included in this Proxy Statement. Based on this information, for 2019 the ratio of the annual total compensation of Mr. Reeg to the annual total compensation of the median employee was 285 to 1.</w:t>
      </w:r>
    </w:p>
    <w:p>
      <w:pPr>
        <w:spacing w:after="0" w:line="14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Because the SEC rules for identifying the median employee of the annual total compensation of our employees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our pay ratio, as other companies may utilize different methodologies in calculating their pay ratios.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0"/>
          </w:cols>
          <w:pgMar w:left="32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RATIFICATION OF SELECTION OF INDEPENDENT REGISTERED PUBLIC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ACCOUNTING FIRM</w:t>
      </w:r>
    </w:p>
    <w:p>
      <w:pPr>
        <w:spacing w:after="0" w:line="21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Board has selected the firm of Ernst &amp; Young LLP (“EY”) to serve as our independent registered public accounting firm for the fiscal year ending December 31, 2019, subject to ratification by the stockholders.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fees incurred for professional services rendered by EY to us during the years ended December 31, 2019 and 2018.</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Audit fees(a)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5,752,276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4,292,827</w:t>
            </w:r>
          </w:p>
        </w:tc>
        <w:tc>
          <w:tcPr>
            <w:tcW w:w="6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Audit—related fees(b)</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1,271,764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1,126,690</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Tax fees(c)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334,824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356,550</w:t>
            </w: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Total Fees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7,358,864</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5,776,067</w:t>
            </w:r>
          </w:p>
        </w:tc>
        <w:tc>
          <w:tcPr>
            <w:tcW w:w="6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line="268" w:lineRule="auto"/>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Audit fees for 2019 and 2018 represent audit fees and related expenses for professional services rendered for the audit of our annual consolidated financial statements included in our Annual Report on Form 10-K, the review of our quarterly financial statements included in our Quarterly Reports on Form 10-Q, or reports provided by us to the trustee and holders of our senior notes and the audit of our internal control over financial reporting. Audit fees also represent fees for professional services rendered for statutory and subsidiary audits, as well as additional services related to property divestitures and the Tropicana Entertainment and Grand Victoria transactions in 2018.</w:t>
      </w:r>
    </w:p>
    <w:p>
      <w:pPr>
        <w:spacing w:after="0" w:line="2" w:lineRule="exact"/>
        <w:rPr>
          <w:rFonts w:ascii="Arial" w:cs="Arial" w:eastAsia="Arial" w:hAnsi="Arial"/>
          <w:sz w:val="17"/>
          <w:szCs w:val="17"/>
          <w:color w:val="auto"/>
        </w:rPr>
      </w:pPr>
    </w:p>
    <w:p>
      <w:pPr>
        <w:ind w:left="540" w:right="180" w:hanging="424"/>
        <w:spacing w:after="0" w:line="250"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Audit-related fees for 2019 and 2018 represent fees related to audits of our employee benefit plans, and certain procedures related to various purchase accounting matters and debt refinancing related to services related to the pending Caesars acquisition and the Tropicana Entertainment and Grand Victoria transactions in 2018.</w:t>
      </w:r>
    </w:p>
    <w:p>
      <w:pPr>
        <w:spacing w:after="0" w:line="1" w:lineRule="exact"/>
        <w:rPr>
          <w:rFonts w:ascii="Arial" w:cs="Arial" w:eastAsia="Arial" w:hAnsi="Arial"/>
          <w:sz w:val="18"/>
          <w:szCs w:val="18"/>
          <w:color w:val="auto"/>
        </w:rPr>
      </w:pPr>
    </w:p>
    <w:p>
      <w:pPr>
        <w:ind w:left="540" w:right="60" w:hanging="424"/>
        <w:spacing w:after="0" w:line="260"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tax fees for 2019 and 2018 represent fees for tax compliance and other services related to services related to the Tropicana Entertainment and Grand Victoria transactions in 2018.</w:t>
      </w:r>
    </w:p>
    <w:p>
      <w:pPr>
        <w:spacing w:after="0" w:line="18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The services provided by EY were approved in advance by our Audit Committee.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 Pre-Approval Policy</w:t>
      </w:r>
    </w:p>
    <w:p>
      <w:pPr>
        <w:spacing w:after="0" w:line="117"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The Audit Committee’s charter provides for the pre-approval of audit and non-audit services performed by our independent registered public accounting firm. Under the charter, the Audit Committee may pre-approve specific services, including fee levels, by the independent registered public accounting firm in a designated category (audit, audit-related, tax services and all other services). The Audit Committee may delegate, in writing, this authority to one or more of its members, provided that the member or members to whom such authority is delegated must report their decisions to the Audit Committee at its next scheduled meeting. All audit, tax and other services provided by EY are pre-approved by the Audit Committee.</w:t>
      </w:r>
    </w:p>
    <w:p>
      <w:pPr>
        <w:spacing w:after="0" w:line="16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It is expected that a member of EY will be present at the Annual Meeting, will have an opportunity to make a statement at the Annual Meeting if they desire to do so, and will be available to respond to appropriate questions.</w:t>
      </w:r>
    </w:p>
    <w:p>
      <w:pPr>
        <w:spacing w:after="0" w:line="166" w:lineRule="exact"/>
        <w:rPr>
          <w:sz w:val="20"/>
          <w:szCs w:val="20"/>
          <w:color w:val="auto"/>
        </w:rPr>
      </w:pPr>
    </w:p>
    <w:p>
      <w:pPr>
        <w:ind w:left="120" w:right="300" w:firstLine="440"/>
        <w:spacing w:after="0" w:line="282" w:lineRule="auto"/>
        <w:rPr>
          <w:sz w:val="20"/>
          <w:szCs w:val="20"/>
          <w:color w:val="auto"/>
        </w:rPr>
      </w:pPr>
      <w:r>
        <w:rPr>
          <w:rFonts w:ascii="Arial" w:cs="Arial" w:eastAsia="Arial" w:hAnsi="Arial"/>
          <w:sz w:val="18"/>
          <w:szCs w:val="18"/>
          <w:b w:val="1"/>
          <w:bCs w:val="1"/>
          <w:color w:val="auto"/>
        </w:rPr>
        <w:t>THE BOARD UNANIMOUSLY RECOMMENDS A VOTE “FOR” THE RATIFICATION OF THE APPOINTMENT OF ERNST &amp; YOUNG LLP AS THE COMPANY’S INDEPENDENT REGISTERED PUBLIC ACCOUNTING FIRM FOR FISCAL YEAR 2019.</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3</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ADVISORY VOTE TO APPROVE THE COMPENSATION OF THE COMPANY’S NAMED EXECUTIVE OFFICERS</w:t>
      </w:r>
    </w:p>
    <w:p>
      <w:pPr>
        <w:spacing w:after="0" w:line="22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Pursuant to the Dodd-Frank Wall Street Reform and Consumer Protection Act of 2010 and Section 14A of the Exchange Act, we are providing our stockholders the opportunity to vote to approve, on an advisory, non-binding basis, the compensation of our named executive officers, as disclosed in this proxy statement in accordance with the SEC’s rules. This proposal, which is commonly referred to as “say-on-pay,” gives stockholders the opportunity, on an advisory basis, to approve, reject or abstain from voting with respect to such proposal. The Dodd-Frank Wall Street Reform and Consumer Protection Act of 2010 also requires that stockholders have the opportunity to cast an advisory vote with respect to whether future executive compensation advisory votes will be held every one, two or three years (commonly referred to as “say-when-on-pay”). At the Company’s 2015 Annual Meeting, our stockholders approved, on an advisory basis, to conduct “say-on-pay” votes on an annual basis. Therefore, unless and until our Board decides otherwise, we will continue to hold say-on-pay votes on an annual basis (with the next such vote occurring at the 2021 Annual Meeting), and the next say-when-on-pay vote will occur no later than the Company’s 2021 Annual Meeting, as this vote is required to be held at least once every six years.</w:t>
      </w:r>
    </w:p>
    <w:p>
      <w:pPr>
        <w:spacing w:after="0" w:line="166" w:lineRule="exact"/>
        <w:rPr>
          <w:sz w:val="20"/>
          <w:szCs w:val="20"/>
          <w:color w:val="auto"/>
        </w:rPr>
      </w:pPr>
    </w:p>
    <w:p>
      <w:pPr>
        <w:ind w:left="120" w:right="480" w:firstLine="440"/>
        <w:spacing w:after="0" w:line="257" w:lineRule="auto"/>
        <w:rPr>
          <w:sz w:val="20"/>
          <w:szCs w:val="20"/>
          <w:color w:val="auto"/>
        </w:rPr>
      </w:pPr>
      <w:r>
        <w:rPr>
          <w:rFonts w:ascii="Arial" w:cs="Arial" w:eastAsia="Arial" w:hAnsi="Arial"/>
          <w:sz w:val="18"/>
          <w:szCs w:val="18"/>
          <w:color w:val="auto"/>
        </w:rPr>
        <w:t>Our executive compensation program is designed to enhance stockholder value by focusing on the specific performance metrics that drive enterprise value; attract, motivate and retain highly-qualified executives committed to the Company’s long-term success; and provide competitive salaries relative to their peers and actual performance. To that end, we provide a program of cash and equity-based awards to promote executive continuity, to align the interests of the Company’s executives with those of our stockholders and to reward executives for superior performance, as measured by both financial and nonfinancial metrics.</w:t>
      </w:r>
    </w:p>
    <w:p>
      <w:pPr>
        <w:spacing w:after="0" w:line="18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urge stockholders to read the “Compensation Discussion and Analysis” section of this Proxy Statement beginning on page 17, which describes the Company’s executive compensation programs and the decisions made by the Compensation Committee and the Board of Directors with respect to the year ending December 31, 2019.</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is asking stockholders to approve the following advisory resolution at the 2020 Annual Meeting:</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 the Company’s proxy statement, including the Compensation Discussion and Analysis, compensation tables and narrative discussion contained therein, is hereby approved.”</w:t>
      </w:r>
    </w:p>
    <w:p>
      <w:pPr>
        <w:spacing w:after="0" w:line="18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Because the vote on this proposal is advisory in nature, it will not affect any compensation already paid or awarded to any named executive officer and will not be binding on or overrule any decisions of the Company, the Board or the Compensation Committee; it will not create or imply any change to the fiduciary duties of, or create or imply any additional duties for, the Company, the Board or the Compensation Committee; and it will not restrict or limit the ability of stockholders to make proposals for inclusion in proxy materials related to executive compensation. Although non-binding, the Board and the Compensation Committee will review and consider the voting results in their entirety when making future decisions regarding our executive compensation program.</w:t>
      </w:r>
    </w:p>
    <w:p>
      <w:pPr>
        <w:spacing w:after="0" w:line="188" w:lineRule="exact"/>
        <w:rPr>
          <w:sz w:val="20"/>
          <w:szCs w:val="20"/>
          <w:color w:val="auto"/>
        </w:rPr>
      </w:pPr>
    </w:p>
    <w:p>
      <w:pPr>
        <w:ind w:left="120" w:right="240" w:firstLine="440"/>
        <w:spacing w:after="0" w:line="282" w:lineRule="auto"/>
        <w:rPr>
          <w:sz w:val="20"/>
          <w:szCs w:val="20"/>
          <w:color w:val="auto"/>
        </w:rPr>
      </w:pPr>
      <w:r>
        <w:rPr>
          <w:rFonts w:ascii="Arial" w:cs="Arial" w:eastAsia="Arial" w:hAnsi="Arial"/>
          <w:sz w:val="18"/>
          <w:szCs w:val="18"/>
          <w:b w:val="1"/>
          <w:bCs w:val="1"/>
          <w:color w:val="auto"/>
        </w:rPr>
        <w:t>THE BOARD UNANIMOUSLY RECOMMENDS A VOTE “FOR” THE ADVISORY VOTE TO APPROVE THE COMPENSATION OF THE COMPANY’S NAMED EXECUTIVE OFFICERS AS DISCLOSED IN THIS PROXY STATEMENT.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purpose of the Audit Committee is to oversee our accounting and financial reporting processes and our consolidated financial statements. The Board of Directors, in its business judgment, has determined that all members of the Audit Committee are “independent,” as required by applicable listing standards of NASDAQ and the Sarbanes-Oxley Act of 2002 and the rules promulgated thereunder. The Audit Committee operates pursuant to an Audit Committee Charter that was adopted in September 2014. As set forth in the Audit Committee Charter, our management is responsible for the preparation, presentation and integrity of our consolidated financial statements and for the effectiveness of internal control over financial reporting. Management is responsible for maintaining our accounting and financial reporting principles and internal controls and procedures designed to assure compliance with accounting standards and applicable laws and regulations. Our independent registered public accounting firm is responsible for auditing our consolidated financial statements and expressing an opinion as to their conformity with generally accepted accounting principles in the U.S. In addition, our independent registered public accounting firm expresses an opinion on the effectiveness of our internal controls over financial reporting. The Audit Committee’s responsibility is to monitor and oversee these processes.</w:t>
      </w:r>
    </w:p>
    <w:p>
      <w:pPr>
        <w:spacing w:after="0" w:line="185" w:lineRule="exact"/>
        <w:rPr>
          <w:sz w:val="20"/>
          <w:szCs w:val="20"/>
          <w:color w:val="auto"/>
        </w:rPr>
      </w:pPr>
    </w:p>
    <w:p>
      <w:pPr>
        <w:ind w:left="120" w:right="300" w:firstLine="440"/>
        <w:spacing w:after="0" w:line="275" w:lineRule="auto"/>
        <w:rPr>
          <w:sz w:val="20"/>
          <w:szCs w:val="20"/>
          <w:color w:val="auto"/>
        </w:rPr>
      </w:pPr>
      <w:r>
        <w:rPr>
          <w:rFonts w:ascii="Arial" w:cs="Arial" w:eastAsia="Arial" w:hAnsi="Arial"/>
          <w:sz w:val="17"/>
          <w:szCs w:val="17"/>
          <w:color w:val="auto"/>
        </w:rPr>
        <w:t>As part of its responsibility to monitor and oversee our internal controls over financial reporting the Audit Committee received and reviewed periodic reports and updates from our management and our independent registered public accounting firm on our compliance with our obligations relating to documenting and testing its internal controls over financial reporting. The Audit Committee also discussed with management, and our independent registered public accounting firm, management’s assessment of the effectiveness of our internal controls over financial reporting, which was included in our Annual Report on Form 10-K for the fiscal year ended December 31, 2019.</w:t>
      </w:r>
    </w:p>
    <w:p>
      <w:pPr>
        <w:spacing w:after="0" w:line="17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In the performance of its oversight function, the Audit Committee has considered and discussed the audited financial statements with management and our independent registered public accounting firm. The Audit Committee has also discussed with the independent registered public accounting firm the matters required to be discussed by Auditing Standard No. 61, </w:t>
      </w:r>
      <w:r>
        <w:rPr>
          <w:rFonts w:ascii="Arial" w:cs="Arial" w:eastAsia="Arial" w:hAnsi="Arial"/>
          <w:sz w:val="17"/>
          <w:szCs w:val="17"/>
          <w:i w:val="1"/>
          <w:iCs w:val="1"/>
          <w:color w:val="auto"/>
        </w:rPr>
        <w:t>Communications with Audit Committees</w:t>
      </w:r>
      <w:r>
        <w:rPr>
          <w:rFonts w:ascii="Arial" w:cs="Arial" w:eastAsia="Arial" w:hAnsi="Arial"/>
          <w:sz w:val="17"/>
          <w:szCs w:val="17"/>
          <w:color w:val="auto"/>
        </w:rPr>
        <w:t xml:space="preserve">, as adopted by the Public Company Accounting Oversight Board (“PCAOB”) in Rule 3200T. The Audit Committee met with our independent registered public accounting firm, with and without management present, to discuss the results of their examinations. Finally, the Audit Committee has received the written disclosures and the letter from the independent registered public accounting firm required by the PCAOB regarding the independent registered public accounting firm’s communication with the Audit Committee concerning independence, including the PCAOB Ethics and Independence Rule 3526, </w:t>
      </w:r>
      <w:r>
        <w:rPr>
          <w:rFonts w:ascii="Arial" w:cs="Arial" w:eastAsia="Arial" w:hAnsi="Arial"/>
          <w:sz w:val="17"/>
          <w:szCs w:val="17"/>
          <w:i w:val="1"/>
          <w:iCs w:val="1"/>
          <w:color w:val="auto"/>
        </w:rPr>
        <w:t>Communications with</w:t>
      </w:r>
      <w:r>
        <w:rPr>
          <w:rFonts w:ascii="Arial" w:cs="Arial" w:eastAsia="Arial" w:hAnsi="Arial"/>
          <w:sz w:val="17"/>
          <w:szCs w:val="17"/>
          <w:color w:val="auto"/>
        </w:rPr>
        <w:t xml:space="preserve"> </w:t>
      </w:r>
      <w:r>
        <w:rPr>
          <w:rFonts w:ascii="Arial" w:cs="Arial" w:eastAsia="Arial" w:hAnsi="Arial"/>
          <w:sz w:val="17"/>
          <w:szCs w:val="17"/>
          <w:i w:val="1"/>
          <w:iCs w:val="1"/>
          <w:color w:val="auto"/>
        </w:rPr>
        <w:t>Audit Committees Concerning Independence</w:t>
      </w:r>
      <w:r>
        <w:rPr>
          <w:rFonts w:ascii="Arial" w:cs="Arial" w:eastAsia="Arial" w:hAnsi="Arial"/>
          <w:sz w:val="17"/>
          <w:szCs w:val="17"/>
          <w:color w:val="auto"/>
        </w:rPr>
        <w:t>, as currently in effect, and has discussed with the independent registered public accounting firm that firm’s</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independence.</w:t>
      </w:r>
    </w:p>
    <w:p>
      <w:pPr>
        <w:spacing w:after="0" w:line="181"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Our members of the Audit Committee are not full-time employees and are not performing the functions of auditors or accountants. As such, it is not the duty or responsibility of the Audit Committee or its members to conduct “field work” or other types of auditing or accounting reviews or procedures or to set auditor independence standards. Members of the Audit Committee necessarily rely on the information provided to them by management and the independent registered public accounting firm. Accordingly, the Audit Committee’s considerations and discussions referred to above do not assure that the audit of our consolidated financial statements has been carried out in accordance with the audit standards of the PCAOB, that the consolidated financial statements are presented in accordance with generally accepted accounting principles or that our independent registered public accounting firm is in fact “independent.”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Based upon the reports and discussions described in this report, and subject to the limitations on the role and responsibilities of the Audit Committee referred to above and in the Audit Committee Charter, the Audit Committee recommended to the Board the audited consolidated financial statements be included in our Annual Report on Form 10-K for the year ended December 31, 2019.</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Submitted by the Audit Committee of our Board,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David P. Tomick (Chairman)</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Bonnie Biumi</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James B. Hawkins</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00"/>
          </w:cols>
          <w:pgMar w:left="320" w:top="459" w:right="6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Proposals for Next Meeting</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Under Rule 14a-8 of the Securities Exchange Act of 1934, as amended (the “Exchange Act”), proposals of stockholders intended for inclusion in the proxy statement for the Annual Meeting of Stockholders to be held in 2021 must be received at our executive offices not later than December 31, 2020. Proponents should submit their proposals by Certified Mail-Return Receipt Requested. Proposals received after that date will be deemed untimely.</w:t>
      </w:r>
    </w:p>
    <w:p>
      <w:pPr>
        <w:spacing w:after="0" w:line="149"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To otherwise present a timely proposal or other business for consideration by our stockholders at the 2021 Annual Meeting of Stockholders, pursuant to our bylaws, a stockholder’s written notice must be delivered to or mailed and received at our principal executive offices no earlier than the close of business on March 1, 2021 nor later than the close of business on March 31, 2021, as required under the applicable provisions of our Amended and Restated Bylaws (the “Bylaws”). In addition, not less than sixty days prior to the date of the next meeting of stockholders called for the election of directors (“Election Meeting”), a stockholder who intends to make a nomination of a candidate for election as director of the Company at the Election Meeting shall, as required by our bylaws, deliver to our Secretary a notice setting forth (a) the name, age, business address and the residence address of each nominee proposed in such notice, (b) the principal occupation or employment of such nominee, (c) the number of shares of our capital stock which are beneficially owned by each such nominee, and (d) such other information concerning each such nominee as would be required, under the rules of the SEC, in a proxy statement soliciting proxies for the election of such nominees. Such notice shall include a signed consent of each such nominee to serve as a director of the corporation, if elected. This notice requirement does not apply to stockholder proposals properly submitted for inclusion in our proxy statements in accordance with the rules of the Securities and Exchange Commission and stockholder nominations of director candidates which must comply with the Nominating and Governance Committee Charter described elsewhere in this Proxy Statement.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Regarding Abandoned Property Law of New York State</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have been informed by our transfer agent, Continental Stock Transfer &amp; Trust Company (the “Transfer Agent”), that New York State now requires the Company’s Transfer Agent to report and escheat all shares held by our record stockholders if there has been no written communication received from the stockholder for a period of five years. This regulation pertains specifically to corporate issuers who do not pay dividends and their stockholders with New York, foreign or unknown addresses. The law mandates escheatment of shares even though the certificates are not in the Transfer Agent’s possession, and even though the stockholder’s address of record is apparently correct.</w:t>
      </w:r>
    </w:p>
    <w:p>
      <w:pPr>
        <w:spacing w:after="0" w:line="176"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The Transfer Agent has advised us that the law requires the Transfer Agent to search its records as of June 30 each year in order to determine those New York resident stockholders from whom it has had no written communication within the past five years. Written communication would include transfer activity, voted proxies, address changes or other miscellaneous written inquiries. For those stockholders who have not contacted the Transfer Agent in over five years, a first-class letter must be sent notifying them that their shares will be escheated in November if they do not contact the Transfer Agent in writing prior thereto. All written responses will be entered in the Transfer Agent’s files, but those who do not respond will have their shares escheated. Stockholders will be able to apply to New York State for the return of their shares.</w:t>
      </w:r>
    </w:p>
    <w:p>
      <w:pPr>
        <w:spacing w:after="0" w:line="164"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Accordingly, stockholders that may be subject to New York’s Abandoned Property Law should make their inquiries and otherwise communicate, with respect to us, in writing. Stockholders should contact their attorneys with any questions they may have regarding this matter.</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Accompanying this Proxy Statement</w:t>
      </w:r>
    </w:p>
    <w:p>
      <w:pPr>
        <w:spacing w:after="0" w:line="121"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Our Annual Report on Form 10-K for the year ended December 31, 2019, filed with the Securities and Exchange Commission on February 28, 2020, accompanies this Proxy Statement and is being furnished to each person solicited in connection with the June 29, 2020 annual meeting of our stockholders.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Other Business</w:t>
      </w:r>
    </w:p>
    <w:p>
      <w:pPr>
        <w:spacing w:after="0" w:line="12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Management is not aware at this date that any other business matters will come before the meeting. If, however, any other matters should properly come before the meeting, it is the intention of the persons named in the proxy to vote thereon in accordance with their judgment.</w:t>
      </w:r>
    </w:p>
    <w:p>
      <w:pPr>
        <w:spacing w:after="0" w:line="173"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May 19, 2020</w:t>
      </w:r>
      <w:r>
        <w:rPr>
          <w:sz w:val="20"/>
          <w:szCs w:val="20"/>
          <w:color w:val="auto"/>
        </w:rPr>
        <w:tab/>
      </w:r>
      <w:r>
        <w:rPr>
          <w:rFonts w:ascii="Arial" w:cs="Arial" w:eastAsia="Arial" w:hAnsi="Arial"/>
          <w:sz w:val="17"/>
          <w:szCs w:val="17"/>
          <w:color w:val="auto"/>
        </w:rPr>
        <w:t>ELDORADO RESORTS, INC.</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 xml:space="preserve">Edmund L. Quatmann, Jr., </w:t>
      </w:r>
      <w:r>
        <w:rPr>
          <w:rFonts w:ascii="Arial" w:cs="Arial" w:eastAsia="Arial" w:hAnsi="Arial"/>
          <w:sz w:val="18"/>
          <w:szCs w:val="18"/>
          <w:i w:val="1"/>
          <w:iCs w:val="1"/>
          <w:color w:val="auto"/>
        </w:rPr>
        <w:t>Secretary</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9" w:right="49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220345</wp:posOffset>
            </wp:positionV>
            <wp:extent cx="5683250" cy="72009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83250" cy="72009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220345</wp:posOffset>
            </wp:positionV>
            <wp:extent cx="5486400" cy="72009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86400" cy="72009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lvl w:ilvl="1">
      <w:lvlJc w:val="left"/>
      <w:lvlText w:val="(%2)"/>
      <w:numFmt w:val="decimal"/>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775"/>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5"/>
    </w:lvl>
  </w:abstractNum>
  <w:abstractNum w:abstractNumId="11">
    <w:nsid w:val="836C40E"/>
    <w:multiLevelType w:val="hybridMultilevel"/>
    <w:lvl w:ilvl="0">
      <w:lvlJc w:val="left"/>
      <w:lvlText w:val="(%1)"/>
      <w:numFmt w:val="lowerRoman"/>
      <w:start w:val="1"/>
    </w:lvl>
  </w:abstractNum>
  <w:abstractNum w:abstractNumId="12">
    <w:nsid w:val="2901D82"/>
    <w:multiLevelType w:val="hybridMultilevel"/>
    <w:lvl w:ilvl="0">
      <w:lvlJc w:val="left"/>
      <w:lvlText w:val="(%1)"/>
      <w:numFmt w:val="lowerRoman"/>
      <w:start w:val="4"/>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5"/>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decimal"/>
      <w:start w:val="3"/>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decimal"/>
      <w:start w:val="2"/>
    </w:lvl>
  </w:abstractNum>
  <w:abstractNum w:abstractNumId="38">
    <w:nsid w:val="70A64E2A"/>
    <w:multiLevelType w:val="hybridMultilevel"/>
    <w:lvl w:ilvl="0">
      <w:lvlJc w:val="left"/>
      <w:lvlText w:val="(%1)"/>
      <w:numFmt w:val="lowerRoman"/>
      <w:start w:val="2"/>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decimal"/>
      <w:start w:val="5"/>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9"/>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2020-05-19T05:10:18Z</dcterms:created>
  <dcterms:modified xsi:type="dcterms:W3CDTF">2020-05-19T05:10:18Z</dcterms:modified>
</cp:coreProperties>
</file>