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30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0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191135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0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200660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0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303"/>
        <w:spacing w:after="0"/>
        <w:rPr>
          <w:sz w:val="20"/>
          <w:szCs w:val="20"/>
          <w:color w:val="auto"/>
        </w:rPr>
      </w:pPr>
      <w:r>
        <w:rPr>
          <w:rFonts w:ascii="Arial" w:cs="Arial" w:eastAsia="Arial" w:hAnsi="Arial"/>
          <w:sz w:val="19"/>
          <w:szCs w:val="19"/>
          <w:b w:val="1"/>
          <w:bCs w:val="1"/>
          <w:color w:val="auto"/>
        </w:rPr>
        <w:t>Pursuant to Section 13 or 15(d)</w:t>
      </w:r>
    </w:p>
    <w:p>
      <w:pPr>
        <w:jc w:val="center"/>
        <w:ind w:right="-30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32" w:lineRule="exact"/>
        <w:rPr>
          <w:sz w:val="24"/>
          <w:szCs w:val="24"/>
          <w:color w:val="auto"/>
        </w:rPr>
      </w:pPr>
    </w:p>
    <w:p>
      <w:pPr>
        <w:jc w:val="center"/>
        <w:ind w:right="-303"/>
        <w:spacing w:after="0"/>
        <w:rPr>
          <w:sz w:val="20"/>
          <w:szCs w:val="20"/>
          <w:color w:val="auto"/>
        </w:rPr>
      </w:pPr>
      <w:r>
        <w:rPr>
          <w:rFonts w:ascii="Arial" w:cs="Arial" w:eastAsia="Arial" w:hAnsi="Arial"/>
          <w:sz w:val="19"/>
          <w:szCs w:val="19"/>
          <w:b w:val="1"/>
          <w:bCs w:val="1"/>
          <w:color w:val="auto"/>
        </w:rPr>
        <w:t>April 27, 2017</w:t>
      </w:r>
    </w:p>
    <w:p>
      <w:pPr>
        <w:spacing w:after="0" w:line="20" w:lineRule="exact"/>
        <w:rPr>
          <w:sz w:val="24"/>
          <w:szCs w:val="24"/>
          <w:color w:val="auto"/>
        </w:rPr>
      </w:pPr>
    </w:p>
    <w:p>
      <w:pPr>
        <w:jc w:val="center"/>
        <w:ind w:right="-303"/>
        <w:spacing w:after="0"/>
        <w:rPr>
          <w:sz w:val="20"/>
          <w:szCs w:val="20"/>
          <w:color w:val="auto"/>
        </w:rPr>
      </w:pPr>
      <w:r>
        <w:rPr>
          <w:rFonts w:ascii="Arial" w:cs="Arial" w:eastAsia="Arial" w:hAnsi="Arial"/>
          <w:sz w:val="19"/>
          <w:szCs w:val="19"/>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183515</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03"/>
        <w:spacing w:after="0"/>
        <w:rPr>
          <w:sz w:val="20"/>
          <w:szCs w:val="20"/>
          <w:color w:val="auto"/>
        </w:rPr>
      </w:pPr>
      <w:r>
        <w:rPr>
          <w:rFonts w:ascii="Arial" w:cs="Arial" w:eastAsia="Arial" w:hAnsi="Arial"/>
          <w:sz w:val="36"/>
          <w:szCs w:val="36"/>
          <w:b w:val="1"/>
          <w:bCs w:val="1"/>
          <w:color w:val="auto"/>
        </w:rPr>
        <w:t>Caesars Entertainment Corporation</w:t>
      </w:r>
    </w:p>
    <w:p>
      <w:pPr>
        <w:spacing w:after="0" w:line="70" w:lineRule="exact"/>
        <w:rPr>
          <w:sz w:val="24"/>
          <w:szCs w:val="24"/>
          <w:color w:val="auto"/>
        </w:rPr>
      </w:pPr>
    </w:p>
    <w:p>
      <w:pPr>
        <w:jc w:val="center"/>
        <w:ind w:right="-30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187325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144"/>
          </w:cols>
          <w:pgMar w:left="236" w:top="343" w:right="519" w:bottom="1440" w:gutter="0" w:footer="0" w:header="0"/>
        </w:sectPr>
      </w:pPr>
    </w:p>
    <w:p>
      <w:pPr>
        <w:spacing w:after="0" w:line="200" w:lineRule="exact"/>
        <w:rPr>
          <w:sz w:val="24"/>
          <w:szCs w:val="24"/>
          <w:color w:val="auto"/>
        </w:rPr>
      </w:pPr>
    </w:p>
    <w:p>
      <w:pPr>
        <w:spacing w:after="0" w:line="319" w:lineRule="exact"/>
        <w:rPr>
          <w:sz w:val="24"/>
          <w:szCs w:val="24"/>
          <w:color w:val="auto"/>
        </w:rPr>
      </w:pPr>
    </w:p>
    <w:p>
      <w:pPr>
        <w:ind w:left="156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001-10410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62-1411755</w:t>
      </w:r>
    </w:p>
    <w:p>
      <w:pPr>
        <w:spacing w:after="0" w:line="24" w:lineRule="exact"/>
        <w:rPr>
          <w:sz w:val="24"/>
          <w:szCs w:val="24"/>
          <w:color w:val="auto"/>
        </w:rPr>
      </w:pPr>
    </w:p>
    <w:p>
      <w:pPr>
        <w:sectPr>
          <w:pgSz w:w="11900" w:h="16838" w:orient="portrait"/>
          <w:cols w:equalWidth="0" w:num="3">
            <w:col w:w="4724" w:space="720"/>
            <w:col w:w="3060" w:space="720"/>
            <w:col w:w="1920"/>
          </w:cols>
          <w:pgMar w:left="236" w:top="343" w:right="519" w:bottom="1440" w:gutter="0" w:footer="0" w:header="0"/>
          <w:type w:val="continuous"/>
        </w:sectPr>
      </w:pPr>
    </w:p>
    <w:p>
      <w:pPr>
        <w:spacing w:after="0" w:line="24" w:lineRule="exact"/>
        <w:rPr>
          <w:sz w:val="24"/>
          <w:szCs w:val="24"/>
          <w:color w:val="auto"/>
        </w:rPr>
      </w:pPr>
    </w:p>
    <w:p>
      <w:pPr>
        <w:ind w:left="1244"/>
        <w:spacing w:after="0"/>
        <w:rPr>
          <w:sz w:val="20"/>
          <w:szCs w:val="20"/>
          <w:color w:val="auto"/>
        </w:rPr>
      </w:pPr>
      <w:r>
        <w:rPr>
          <w:rFonts w:ascii="Arial" w:cs="Arial" w:eastAsia="Arial" w:hAnsi="Arial"/>
          <w:sz w:val="11"/>
          <w:szCs w:val="11"/>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3"/>
          <w:szCs w:val="13"/>
          <w:b w:val="1"/>
          <w:bCs w:val="1"/>
          <w:color w:val="auto"/>
        </w:rPr>
        <w:t>(IRS Employer</w:t>
      </w:r>
    </w:p>
    <w:p>
      <w:pPr>
        <w:jc w:val="center"/>
        <w:ind w:right="900"/>
        <w:spacing w:after="0"/>
        <w:rPr>
          <w:sz w:val="20"/>
          <w:szCs w:val="20"/>
          <w:color w:val="auto"/>
        </w:rPr>
      </w:pPr>
      <w:r>
        <w:rPr>
          <w:rFonts w:ascii="Arial" w:cs="Arial" w:eastAsia="Arial" w:hAnsi="Arial"/>
          <w:sz w:val="11"/>
          <w:szCs w:val="11"/>
          <w:b w:val="1"/>
          <w:bCs w:val="1"/>
          <w:color w:val="auto"/>
        </w:rPr>
        <w:t>Identification Number)</w:t>
      </w:r>
    </w:p>
    <w:p>
      <w:pPr>
        <w:spacing w:after="0" w:line="163" w:lineRule="exact"/>
        <w:rPr>
          <w:sz w:val="24"/>
          <w:szCs w:val="24"/>
          <w:color w:val="auto"/>
        </w:rPr>
      </w:pPr>
    </w:p>
    <w:p>
      <w:pPr>
        <w:sectPr>
          <w:pgSz w:w="11900" w:h="16838" w:orient="portrait"/>
          <w:cols w:equalWidth="0" w:num="3">
            <w:col w:w="4704" w:space="720"/>
            <w:col w:w="2840" w:space="720"/>
            <w:col w:w="2160"/>
          </w:cols>
          <w:pgMar w:left="236" w:top="343" w:right="519" w:bottom="1440" w:gutter="0" w:footer="0" w:header="0"/>
          <w:type w:val="continuous"/>
        </w:sectPr>
      </w:pPr>
    </w:p>
    <w:p>
      <w:pPr>
        <w:ind w:left="4824"/>
        <w:spacing w:after="0"/>
        <w:rPr>
          <w:sz w:val="20"/>
          <w:szCs w:val="20"/>
          <w:color w:val="auto"/>
        </w:rPr>
      </w:pPr>
      <w:r>
        <w:rPr>
          <w:rFonts w:ascii="Arial" w:cs="Arial" w:eastAsia="Arial" w:hAnsi="Arial"/>
          <w:sz w:val="16"/>
          <w:szCs w:val="16"/>
          <w:b w:val="1"/>
          <w:bCs w:val="1"/>
          <w:color w:val="auto"/>
        </w:rPr>
        <w:t>One Caesars Palace Drive</w:t>
      </w:r>
    </w:p>
    <w:p>
      <w:pPr>
        <w:spacing w:after="0" w:line="25" w:lineRule="exact"/>
        <w:rPr>
          <w:sz w:val="24"/>
          <w:szCs w:val="24"/>
          <w:color w:val="auto"/>
        </w:rPr>
      </w:pPr>
    </w:p>
    <w:p>
      <w:pPr>
        <w:ind w:left="4864"/>
        <w:spacing w:after="0"/>
        <w:rPr>
          <w:sz w:val="20"/>
          <w:szCs w:val="20"/>
          <w:color w:val="auto"/>
        </w:rPr>
      </w:pPr>
      <w:r>
        <w:rPr>
          <w:rFonts w:ascii="Arial" w:cs="Arial" w:eastAsia="Arial" w:hAnsi="Arial"/>
          <w:sz w:val="16"/>
          <w:szCs w:val="16"/>
          <w:b w:val="1"/>
          <w:bCs w:val="1"/>
          <w:color w:val="auto"/>
        </w:rPr>
        <w:t>Las Vegas, Nevada 89109</w:t>
      </w:r>
    </w:p>
    <w:p>
      <w:pPr>
        <w:spacing w:after="0" w:line="2" w:lineRule="exact"/>
        <w:rPr>
          <w:sz w:val="24"/>
          <w:szCs w:val="24"/>
          <w:color w:val="auto"/>
        </w:rPr>
      </w:pPr>
    </w:p>
    <w:p>
      <w:pPr>
        <w:jc w:val="center"/>
        <w:ind w:right="-283"/>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28" w:lineRule="exact"/>
        <w:rPr>
          <w:sz w:val="24"/>
          <w:szCs w:val="24"/>
          <w:color w:val="auto"/>
        </w:rPr>
      </w:pPr>
    </w:p>
    <w:p>
      <w:pPr>
        <w:jc w:val="center"/>
        <w:ind w:right="-283"/>
        <w:spacing w:after="0"/>
        <w:rPr>
          <w:sz w:val="20"/>
          <w:szCs w:val="20"/>
          <w:color w:val="auto"/>
        </w:rPr>
      </w:pPr>
      <w:r>
        <w:rPr>
          <w:rFonts w:ascii="Arial" w:cs="Arial" w:eastAsia="Arial" w:hAnsi="Arial"/>
          <w:sz w:val="16"/>
          <w:szCs w:val="16"/>
          <w:b w:val="1"/>
          <w:bCs w:val="1"/>
          <w:color w:val="auto"/>
        </w:rPr>
        <w:t>(702) 407-6000</w:t>
      </w:r>
    </w:p>
    <w:p>
      <w:pPr>
        <w:spacing w:after="0" w:line="19" w:lineRule="exact"/>
        <w:rPr>
          <w:sz w:val="24"/>
          <w:szCs w:val="24"/>
          <w:color w:val="auto"/>
        </w:rPr>
      </w:pPr>
    </w:p>
    <w:p>
      <w:pPr>
        <w:jc w:val="center"/>
        <w:ind w:right="-283"/>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0" w:lineRule="exact"/>
        <w:rPr>
          <w:sz w:val="24"/>
          <w:szCs w:val="24"/>
          <w:color w:val="auto"/>
        </w:rPr>
      </w:pPr>
    </w:p>
    <w:p>
      <w:pPr>
        <w:jc w:val="center"/>
        <w:ind w:right="-283"/>
        <w:spacing w:after="0"/>
        <w:rPr>
          <w:sz w:val="20"/>
          <w:szCs w:val="20"/>
          <w:color w:val="auto"/>
        </w:rPr>
      </w:pPr>
      <w:r>
        <w:rPr>
          <w:rFonts w:ascii="Arial" w:cs="Arial" w:eastAsia="Arial" w:hAnsi="Arial"/>
          <w:sz w:val="16"/>
          <w:szCs w:val="16"/>
          <w:b w:val="1"/>
          <w:bCs w:val="1"/>
          <w:color w:val="auto"/>
        </w:rPr>
        <w:t>N/A</w:t>
      </w:r>
    </w:p>
    <w:p>
      <w:pPr>
        <w:spacing w:after="0" w:line="19" w:lineRule="exact"/>
        <w:rPr>
          <w:sz w:val="24"/>
          <w:szCs w:val="24"/>
          <w:color w:val="auto"/>
        </w:rPr>
      </w:pPr>
    </w:p>
    <w:p>
      <w:pPr>
        <w:jc w:val="center"/>
        <w:ind w:right="-283"/>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190500</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144"/>
          </w:cols>
          <w:pgMar w:left="236" w:top="343" w:right="519" w:bottom="1440" w:gutter="0" w:footer="0" w:header="0"/>
          <w:type w:val="continuous"/>
        </w:sectPr>
      </w:pPr>
    </w:p>
    <w:p>
      <w:pPr>
        <w:spacing w:after="0" w:line="200" w:lineRule="exact"/>
        <w:rPr>
          <w:sz w:val="24"/>
          <w:szCs w:val="24"/>
          <w:color w:val="auto"/>
        </w:rPr>
      </w:pPr>
    </w:p>
    <w:p>
      <w:pPr>
        <w:spacing w:after="0" w:line="25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6"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4" w:lineRule="exact"/>
        <w:rPr>
          <w:sz w:val="24"/>
          <w:szCs w:val="24"/>
          <w:color w:val="auto"/>
        </w:rPr>
      </w:pPr>
    </w:p>
    <w:p>
      <w:pPr>
        <w:ind w:left="4" w:right="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44"/>
          </w:cols>
          <w:pgMar w:left="236" w:top="343" w:right="5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8.01 Other Events.</w:t>
      </w:r>
    </w:p>
    <w:p>
      <w:pPr>
        <w:spacing w:after="0" w:line="108" w:lineRule="exact"/>
        <w:rPr>
          <w:sz w:val="20"/>
          <w:szCs w:val="20"/>
          <w:color w:val="auto"/>
        </w:rPr>
      </w:pPr>
    </w:p>
    <w:p>
      <w:pPr>
        <w:ind w:right="200" w:firstLine="458"/>
        <w:spacing w:after="0" w:line="264" w:lineRule="auto"/>
        <w:rPr>
          <w:sz w:val="20"/>
          <w:szCs w:val="20"/>
          <w:color w:val="auto"/>
        </w:rPr>
      </w:pPr>
      <w:r>
        <w:rPr>
          <w:rFonts w:ascii="Arial" w:cs="Arial" w:eastAsia="Arial" w:hAnsi="Arial"/>
          <w:sz w:val="16"/>
          <w:szCs w:val="16"/>
          <w:color w:val="auto"/>
        </w:rPr>
        <w:t>On April 27, 2017, Caesars Entertainment Resort Properties, LLC (“</w:t>
      </w:r>
      <w:r>
        <w:rPr>
          <w:rFonts w:ascii="Arial" w:cs="Arial" w:eastAsia="Arial" w:hAnsi="Arial"/>
          <w:sz w:val="16"/>
          <w:szCs w:val="16"/>
          <w:u w:val="single" w:color="auto"/>
          <w:color w:val="auto"/>
        </w:rPr>
        <w:t>CERP</w:t>
      </w:r>
      <w:r>
        <w:rPr>
          <w:rFonts w:ascii="Arial" w:cs="Arial" w:eastAsia="Arial" w:hAnsi="Arial"/>
          <w:sz w:val="16"/>
          <w:szCs w:val="16"/>
          <w:color w:val="auto"/>
        </w:rPr>
        <w:t>”), a wholly-owned subsidiary of Caesars Entertainment Corporation (“</w:t>
      </w:r>
      <w:r>
        <w:rPr>
          <w:rFonts w:ascii="Arial" w:cs="Arial" w:eastAsia="Arial" w:hAnsi="Arial"/>
          <w:sz w:val="16"/>
          <w:szCs w:val="16"/>
          <w:u w:val="single" w:color="auto"/>
          <w:color w:val="auto"/>
        </w:rPr>
        <w:t>CEC</w:t>
      </w:r>
      <w:r>
        <w:rPr>
          <w:rFonts w:ascii="Arial" w:cs="Arial" w:eastAsia="Arial" w:hAnsi="Arial"/>
          <w:sz w:val="16"/>
          <w:szCs w:val="16"/>
          <w:color w:val="auto"/>
        </w:rPr>
        <w:t>”), announced its intent to seek a repricing of its existing $2.4 billion term loan B due 2020. CEC is filing as Exhibit 99.1 to this Current Report on Form 8-K the lender presentation that was provided on April 27, 2017 to CERP’s lenders and potential lenders, which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108" w:lineRule="exact"/>
        <w:rPr>
          <w:sz w:val="20"/>
          <w:szCs w:val="20"/>
          <w:color w:val="auto"/>
        </w:rPr>
      </w:pPr>
    </w:p>
    <w:p>
      <w:pPr>
        <w:ind w:right="20" w:firstLine="458"/>
        <w:spacing w:after="0" w:line="276" w:lineRule="auto"/>
        <w:rPr>
          <w:sz w:val="20"/>
          <w:szCs w:val="20"/>
          <w:color w:val="auto"/>
        </w:rPr>
      </w:pPr>
      <w:r>
        <w:rPr>
          <w:rFonts w:ascii="Arial" w:cs="Arial" w:eastAsia="Arial" w:hAnsi="Arial"/>
          <w:sz w:val="15"/>
          <w:szCs w:val="15"/>
          <w:color w:val="auto"/>
        </w:rPr>
        <w:t>This filing includes “forward-looking statements” intended to qualify for the safe harbor from liability established by the Private Securities Litigation Reform Act of 1995. You can identify these statements by the fact that they do not relate strictly to historical or current facts and by the use of words such as, “may,” “estimate,” “seek,” “propose,” “expect,” “plan,” “will,” “continue,” or the negative or other variations thereof or comparable terminology. In particular, they include statements relating to, among other things, the emergence from bankruptcy of Caesars Entertainment Operating Company, Inc. (“</w:t>
      </w:r>
      <w:r>
        <w:rPr>
          <w:rFonts w:ascii="Arial" w:cs="Arial" w:eastAsia="Arial" w:hAnsi="Arial"/>
          <w:sz w:val="15"/>
          <w:szCs w:val="15"/>
          <w:u w:val="single" w:color="auto"/>
          <w:color w:val="auto"/>
        </w:rPr>
        <w:t>CEOC</w:t>
      </w:r>
      <w:r>
        <w:rPr>
          <w:rFonts w:ascii="Arial" w:cs="Arial" w:eastAsia="Arial" w:hAnsi="Arial"/>
          <w:sz w:val="15"/>
          <w:szCs w:val="15"/>
          <w:color w:val="auto"/>
        </w:rPr>
        <w:t>”) and the expected timing thereof, future actions that may be taken by CEC and others with respect thereto, the completion of the Merger (as defined below), the financial position and actions of CEC post-emergence and the expected benefits of the repricing transaction. These forward-looking statements are based on current expectations and projections about future events.</w:t>
      </w:r>
    </w:p>
    <w:p>
      <w:pPr>
        <w:spacing w:after="0" w:line="155" w:lineRule="exact"/>
        <w:rPr>
          <w:sz w:val="20"/>
          <w:szCs w:val="20"/>
          <w:color w:val="auto"/>
        </w:rPr>
      </w:pPr>
    </w:p>
    <w:p>
      <w:pPr>
        <w:ind w:right="160" w:firstLine="458"/>
        <w:spacing w:after="0" w:line="254" w:lineRule="auto"/>
        <w:rPr>
          <w:sz w:val="20"/>
          <w:szCs w:val="20"/>
          <w:color w:val="auto"/>
        </w:rPr>
      </w:pPr>
      <w:r>
        <w:rPr>
          <w:rFonts w:ascii="Arial" w:cs="Arial" w:eastAsia="Arial" w:hAnsi="Arial"/>
          <w:sz w:val="16"/>
          <w:szCs w:val="16"/>
          <w:color w:val="auto"/>
        </w:rPr>
        <w:t>You are cautioned that forward-looking statements are not guarantees of future performance or results and involve risks and uncertainties that cannot be predicted or quantified and, consequently, the actual performance and results of CEC and CERP may differ materially from those expressed or implied by such forward-looking statements. Such risks and uncertainties include, but are not limited to, the following factors, as well as other factors described from time to time in our reports filed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the Merger may not be consummated or one or more events, changes or other circumstances that could occur that could give rise to the termination of the Merger Agreement (as defined below), CEC’s and CEOC’s ability (or inability) to meet any milestones or other conditions set forth in their restructuring support agreements, CEC’s and CEOC’s ability (or inability) to satisfy the conditions to the effectiveness of the Third Amended Joint Plan of Reorganization of CEOC and its Chapter 11 debtor subsidiaries, CEC’s ability (or inability) to secure additional liquidity to meet its ongoing obligations and its commitments to support the CEOC restructuring as necessary, CEC’s financial obligations exceeding or becoming due earlier than what is currently forecast and other risks associated with the CEOC restructuring and related litigation.</w:t>
      </w:r>
    </w:p>
    <w:p>
      <w:pPr>
        <w:spacing w:after="0" w:line="170" w:lineRule="exact"/>
        <w:rPr>
          <w:sz w:val="20"/>
          <w:szCs w:val="20"/>
          <w:color w:val="auto"/>
        </w:rPr>
      </w:pPr>
    </w:p>
    <w:p>
      <w:pPr>
        <w:ind w:firstLine="458"/>
        <w:spacing w:after="0" w:line="264" w:lineRule="auto"/>
        <w:rPr>
          <w:sz w:val="20"/>
          <w:szCs w:val="20"/>
          <w:color w:val="auto"/>
        </w:rPr>
      </w:pPr>
      <w:r>
        <w:rPr>
          <w:rFonts w:ascii="Arial" w:cs="Arial" w:eastAsia="Arial" w:hAnsi="Arial"/>
          <w:sz w:val="16"/>
          <w:szCs w:val="16"/>
          <w:color w:val="auto"/>
        </w:rPr>
        <w:t>You are cautioned to not place undue reliance on these forward-looking statements, which speak only as of the date of this filing. CEC undertakes no obligation to publicly update or release any revisions to these forward-looking statements to reflect events or circumstances after the date of this filing or to reflect the occurrence of unanticipated events, except as required by law.</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Important Additional Information</w:t>
      </w:r>
    </w:p>
    <w:p>
      <w:pPr>
        <w:spacing w:after="0" w:line="108" w:lineRule="exact"/>
        <w:rPr>
          <w:sz w:val="20"/>
          <w:szCs w:val="20"/>
          <w:color w:val="auto"/>
        </w:rPr>
      </w:pPr>
    </w:p>
    <w:p>
      <w:pPr>
        <w:ind w:firstLine="458"/>
        <w:spacing w:after="0" w:line="273" w:lineRule="auto"/>
        <w:rPr>
          <w:sz w:val="20"/>
          <w:szCs w:val="20"/>
          <w:color w:val="auto"/>
        </w:rPr>
      </w:pPr>
      <w:r>
        <w:rPr>
          <w:rFonts w:ascii="Arial" w:cs="Arial" w:eastAsia="Arial" w:hAnsi="Arial"/>
          <w:sz w:val="15"/>
          <w:szCs w:val="15"/>
          <w:color w:val="auto"/>
        </w:rPr>
        <w:t>Pursuant to the Amended and Restated Agreement and Plan of Merger, dated as of July 9, 2016, between CEC and CAC, as subsequently amended on February 20, 2017 (as amended,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among other things, Caesars Acquisition Company (“</w:t>
      </w:r>
      <w:r>
        <w:rPr>
          <w:rFonts w:ascii="Arial" w:cs="Arial" w:eastAsia="Arial" w:hAnsi="Arial"/>
          <w:sz w:val="15"/>
          <w:szCs w:val="15"/>
          <w:u w:val="single" w:color="auto"/>
          <w:color w:val="auto"/>
        </w:rPr>
        <w:t>CAC</w:t>
      </w:r>
      <w:r>
        <w:rPr>
          <w:rFonts w:ascii="Arial" w:cs="Arial" w:eastAsia="Arial" w:hAnsi="Arial"/>
          <w:sz w:val="15"/>
          <w:szCs w:val="15"/>
          <w:color w:val="auto"/>
        </w:rPr>
        <w:t>”) will merge with and into CEC, with CEC as the surviving company (the “</w:t>
      </w:r>
      <w:r>
        <w:rPr>
          <w:rFonts w:ascii="Arial" w:cs="Arial" w:eastAsia="Arial" w:hAnsi="Arial"/>
          <w:sz w:val="15"/>
          <w:szCs w:val="15"/>
          <w:u w:val="single" w:color="auto"/>
          <w:color w:val="auto"/>
        </w:rPr>
        <w:t>Merger</w:t>
      </w:r>
      <w:r>
        <w:rPr>
          <w:rFonts w:ascii="Arial" w:cs="Arial" w:eastAsia="Arial" w:hAnsi="Arial"/>
          <w:sz w:val="15"/>
          <w:szCs w:val="15"/>
          <w:color w:val="auto"/>
        </w:rPr>
        <w:t>”). In connection with the Merger, on March 13, 2017, CEC and CAC filed with the SEC a registration statement on Form S-4 that includes a preliminary joint proxy statement/prospectus, as well as other relevant documents concerning the proposed transaction. The registration statement has not yet become effective. After the registration statement is declared effective by the SEC, a definitive joint proxy statement/prospectus will be mailed to stockholders of CEC and CAC. Stockholders are urged to read the registration statement and joint proxy statement/prospectus regarding the Merger and any other relevant documents filed with the SEC, as well as any amendments or supplements to those documents, because they will contain important information. You will be able to obtain a free copy of such joint proxy statement/prospectus, as well as other filings containing information about CEC and CAC, at the SEC’s website (www.sec.gov), from CEC Investor Relations (investor.caesars.com) or from CAC Investor Relations (investor.caesarsacquisitioncompany.com).</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55" w:right="239" w:bottom="1440" w:gutter="0" w:footer="0" w:header="0"/>
        </w:sectPr>
      </w:pPr>
    </w:p>
    <w:bookmarkStart w:id="2" w:name="page3"/>
    <w:bookmarkEnd w:id="2"/>
    <w:p>
      <w:pPr>
        <w:ind w:firstLine="458"/>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information in this communication is for informational purposes only and is neither an offer to purchase, nor a solicitation of an offer to sell, subscribe for or buy any securities or the solicitation of any vote or approval in any jurisdiction pursuant to or in connection with the proposed transactions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pacing w:after="0" w:line="167" w:lineRule="exact"/>
        <w:rPr>
          <w:sz w:val="20"/>
          <w:szCs w:val="20"/>
          <w:color w:val="auto"/>
        </w:rPr>
      </w:pPr>
    </w:p>
    <w:p>
      <w:pPr>
        <w:ind w:right="60" w:firstLine="458"/>
        <w:spacing w:after="0" w:line="257" w:lineRule="auto"/>
        <w:rPr>
          <w:sz w:val="20"/>
          <w:szCs w:val="20"/>
          <w:color w:val="auto"/>
        </w:rPr>
      </w:pPr>
      <w:r>
        <w:rPr>
          <w:rFonts w:ascii="Arial" w:cs="Arial" w:eastAsia="Arial" w:hAnsi="Arial"/>
          <w:sz w:val="16"/>
          <w:szCs w:val="16"/>
          <w:color w:val="auto"/>
        </w:rPr>
        <w:t>CEC, CAC and their respective directors, executive officers and certain other members of management and employees may be soliciting proxies from CEC and CAC stockholders in favor of the business combination transaction. Information regarding the persons who may, under the rules of the SEC, be considered participants in the solicitation of the CEC and CAC stockholders in connection with the proposed business combination transaction is set forth in the definitive proxy statement filed with the SEC on April 12, 2017 and Amendment No. 1 to the Annual Report on Form 10-K for CAC’s fiscal year ended December 31, 2016, filed on March 31, 2017, respectively. You can obtain free copies of these documents from CEC and CAC in the manner set forth above.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20" w:lineRule="exact"/>
        <w:rPr>
          <w:sz w:val="20"/>
          <w:szCs w:val="20"/>
          <w:color w:val="auto"/>
        </w:rPr>
      </w:pPr>
    </w:p>
    <w:p>
      <w:pPr>
        <w:ind w:left="900" w:hanging="447"/>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 The following exhibit is being filed herewith:</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ind w:left="100"/>
        <w:spacing w:after="0"/>
        <w:tabs>
          <w:tab w:leader="none" w:pos="94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590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080" cy="7620"/>
                    </a:xfrm>
                    <a:prstGeom prst="rect">
                      <a:avLst/>
                    </a:prstGeom>
                    <a:noFill/>
                  </pic:spPr>
                </pic:pic>
              </a:graphicData>
            </a:graphic>
          </wp:anchor>
        </w:drawing>
      </w:r>
    </w:p>
    <w:p>
      <w:pPr>
        <w:spacing w:after="0" w:line="6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Lender Presentation.</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40"/>
          </w:cols>
          <w:pgMar w:left="240" w:top="259"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ind w:right="140" w:firstLine="458"/>
        <w:spacing w:after="0" w:line="277"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7860" w:type="dxa"/>
            <w:vAlign w:val="bottom"/>
            <w:gridSpan w:val="2"/>
          </w:tcPr>
          <w:p>
            <w:pPr>
              <w:ind w:left="2260"/>
              <w:spacing w:after="0"/>
              <w:rPr>
                <w:sz w:val="20"/>
                <w:szCs w:val="20"/>
                <w:color w:val="auto"/>
              </w:rPr>
            </w:pPr>
            <w:r>
              <w:rPr>
                <w:rFonts w:ascii="Arial" w:cs="Arial" w:eastAsia="Arial" w:hAnsi="Arial"/>
                <w:sz w:val="16"/>
                <w:szCs w:val="16"/>
                <w:color w:val="auto"/>
              </w:rPr>
              <w:t>CAESARS ENTERTAINMENT CORPORATION</w:t>
            </w:r>
          </w:p>
        </w:tc>
      </w:tr>
      <w:tr>
        <w:trPr>
          <w:trHeight w:val="384"/>
        </w:trPr>
        <w:tc>
          <w:tcPr>
            <w:tcW w:w="3580" w:type="dxa"/>
            <w:vAlign w:val="bottom"/>
          </w:tcPr>
          <w:p>
            <w:pPr>
              <w:spacing w:after="0"/>
              <w:rPr>
                <w:sz w:val="20"/>
                <w:szCs w:val="20"/>
                <w:color w:val="auto"/>
              </w:rPr>
            </w:pPr>
            <w:r>
              <w:rPr>
                <w:rFonts w:ascii="Arial" w:cs="Arial" w:eastAsia="Arial" w:hAnsi="Arial"/>
                <w:sz w:val="16"/>
                <w:szCs w:val="16"/>
                <w:color w:val="auto"/>
              </w:rPr>
              <w:t>Date: April 27, 2017</w:t>
            </w:r>
          </w:p>
        </w:tc>
        <w:tc>
          <w:tcPr>
            <w:tcW w:w="2840" w:type="dxa"/>
            <w:vAlign w:val="bottom"/>
          </w:tcPr>
          <w:p>
            <w:pPr>
              <w:ind w:left="226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w:t>
            </w:r>
            <w:r>
              <w:rPr>
                <w:rFonts w:ascii="Arial" w:cs="Arial" w:eastAsia="Arial" w:hAnsi="Arial"/>
                <w:sz w:val="13"/>
                <w:szCs w:val="13"/>
                <w:color w:val="auto"/>
              </w:rPr>
              <w:t>COTT</w:t>
            </w:r>
            <w:r>
              <w:rPr>
                <w:rFonts w:ascii="Arial" w:cs="Arial" w:eastAsia="Arial" w:hAnsi="Arial"/>
                <w:sz w:val="16"/>
                <w:szCs w:val="16"/>
                <w:color w:val="auto"/>
              </w:rPr>
              <w:t xml:space="preserve"> E. W</w:t>
            </w:r>
            <w:r>
              <w:rPr>
                <w:rFonts w:ascii="Arial" w:cs="Arial" w:eastAsia="Arial" w:hAnsi="Arial"/>
                <w:sz w:val="13"/>
                <w:szCs w:val="13"/>
                <w:color w:val="auto"/>
              </w:rPr>
              <w:t>IEGAND</w:t>
            </w:r>
          </w:p>
        </w:tc>
      </w:tr>
      <w:tr>
        <w:trPr>
          <w:trHeight w:val="184"/>
        </w:trPr>
        <w:tc>
          <w:tcPr>
            <w:tcW w:w="3580" w:type="dxa"/>
            <w:vAlign w:val="bottom"/>
          </w:tcPr>
          <w:p>
            <w:pPr>
              <w:spacing w:after="0"/>
              <w:rPr>
                <w:sz w:val="15"/>
                <w:szCs w:val="15"/>
                <w:color w:val="auto"/>
              </w:rPr>
            </w:pPr>
          </w:p>
        </w:tc>
        <w:tc>
          <w:tcPr>
            <w:tcW w:w="2840" w:type="dxa"/>
            <w:vAlign w:val="bottom"/>
          </w:tcPr>
          <w:p>
            <w:pPr>
              <w:ind w:left="2260"/>
              <w:spacing w:after="0"/>
              <w:rPr>
                <w:sz w:val="20"/>
                <w:szCs w:val="20"/>
                <w:color w:val="auto"/>
              </w:rPr>
            </w:pPr>
            <w:r>
              <w:rPr>
                <w:rFonts w:ascii="Arial" w:cs="Arial" w:eastAsia="Arial" w:hAnsi="Arial"/>
                <w:sz w:val="16"/>
                <w:szCs w:val="16"/>
                <w:color w:val="auto"/>
              </w:rPr>
              <w:t>Name:</w:t>
            </w:r>
          </w:p>
        </w:tc>
        <w:tc>
          <w:tcPr>
            <w:tcW w:w="5020" w:type="dxa"/>
            <w:vAlign w:val="bottom"/>
          </w:tcPr>
          <w:p>
            <w:pPr>
              <w:spacing w:after="0"/>
              <w:rPr>
                <w:sz w:val="20"/>
                <w:szCs w:val="20"/>
                <w:color w:val="auto"/>
              </w:rPr>
            </w:pPr>
            <w:r>
              <w:rPr>
                <w:rFonts w:ascii="Arial" w:cs="Arial" w:eastAsia="Arial" w:hAnsi="Arial"/>
                <w:sz w:val="16"/>
                <w:szCs w:val="16"/>
                <w:color w:val="auto"/>
              </w:rPr>
              <w:t>Scott E. Wiegand</w:t>
            </w:r>
          </w:p>
        </w:tc>
      </w:tr>
      <w:tr>
        <w:trPr>
          <w:trHeight w:val="205"/>
        </w:trPr>
        <w:tc>
          <w:tcPr>
            <w:tcW w:w="3580" w:type="dxa"/>
            <w:vAlign w:val="bottom"/>
          </w:tcPr>
          <w:p>
            <w:pPr>
              <w:spacing w:after="0"/>
              <w:rPr>
                <w:sz w:val="17"/>
                <w:szCs w:val="17"/>
                <w:color w:val="auto"/>
              </w:rPr>
            </w:pPr>
          </w:p>
        </w:tc>
        <w:tc>
          <w:tcPr>
            <w:tcW w:w="2840" w:type="dxa"/>
            <w:vAlign w:val="bottom"/>
          </w:tcPr>
          <w:p>
            <w:pPr>
              <w:ind w:left="2260"/>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w w:val="96"/>
              </w:rPr>
              <w:t>Senior Vice President, Deputy General Counsel and Corporate Secretary</w:t>
            </w:r>
          </w:p>
        </w:tc>
      </w:tr>
    </w:tbl>
    <w:p>
      <w:pPr>
        <w:sectPr>
          <w:pgSz w:w="11900" w:h="16838" w:orient="portrait"/>
          <w:cols w:equalWidth="0" w:num="1">
            <w:col w:w="11440"/>
          </w:cols>
          <w:pgMar w:left="240" w:top="255" w:right="219" w:bottom="1440" w:gutter="0" w:footer="0" w:header="0"/>
        </w:sectPr>
      </w:pPr>
    </w:p>
    <w:bookmarkStart w:id="4" w:name="page5"/>
    <w:bookmarkEnd w:id="4"/>
    <w:p>
      <w:pPr>
        <w:jc w:val="right"/>
        <w:ind w:right="38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INDEX</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ind w:left="100"/>
        <w:spacing w:after="0"/>
        <w:tabs>
          <w:tab w:leader="none" w:pos="94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2590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080" cy="7620"/>
                    </a:xfrm>
                    <a:prstGeom prst="rect">
                      <a:avLst/>
                    </a:prstGeom>
                    <a:noFill/>
                  </pic:spPr>
                </pic:pic>
              </a:graphicData>
            </a:graphic>
          </wp:anchor>
        </w:drawing>
      </w:r>
    </w:p>
    <w:p>
      <w:pPr>
        <w:spacing w:after="0" w:line="6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Lender Presentation.</w:t>
      </w:r>
    </w:p>
    <w:p>
      <w:pPr>
        <w:sectPr>
          <w:pgSz w:w="11900" w:h="16838" w:orient="portrait"/>
          <w:cols w:equalWidth="0" w:num="1">
            <w:col w:w="10219"/>
          </w:cols>
          <w:pgMar w:left="240" w:top="255" w:right="1440" w:bottom="1440" w:gutter="0" w:footer="0" w:header="0"/>
        </w:sectPr>
      </w:pPr>
    </w:p>
    <w:bookmarkStart w:id="5" w:name="page6"/>
    <w:bookmarkEnd w:id="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2019-12-05T18:14:28Z</dcterms:created>
  <dcterms:modified xsi:type="dcterms:W3CDTF">2019-12-05T18:14:28Z</dcterms:modified>
</cp:coreProperties>
</file>