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536061.xml.htm"/>
      <w:bookmarkStart w:id="1" w:name="kswkform4_17715360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Josh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CAESARS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 LIBERTY ST.,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Caesars Entertainment, Inc.</w:t>
              </w:r>
            </w:hyperlink>
            <w:r>
              <w:rPr/>
              <w:t xml:space="preserve"> [ </w:t>
            </w:r>
            <w:r>
              <w:rPr>
                <w:rFonts w:ascii="Times;serif" w:hAnsi="Times;serif"/>
                <w:color w:val="0000FF"/>
                <w:sz w:val="24"/>
                <w:shd w:fill="FFFFFF" w:val="clear"/>
              </w:rPr>
              <w:t>CZR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60,432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59,507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were granted on January 27, 2023, pursuant to the Amended and Restated 2015 Equity Incentive Plan, subject to achievement of specified performance objectives. The level at which such restricted stock units were determined to have been achieved, as reported on this Form 4, was determined by the Board of the Issuer effective with the filing of the annual report on Form 10-K on February 17, 2026. Pursuant to the terms of the grant, the earned restricted stock units immediately vested and settled in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Eaton,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6911" TargetMode="External"/><Relationship Id="rId5" Type="http://schemas.openxmlformats.org/officeDocument/2006/relationships/hyperlink" Target="http://www.sec.gov/cgi-bin/browse-edgar?action=getcompany&amp;CIK=0001590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3601</Characters>
  <CharactersWithSpaces>4205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