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6527ddefa14a.htm"/>
      <w:bookmarkStart w:id="1" w:name="ksd156527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b/>
                <w:sz w:val="18"/>
              </w:rPr>
            </w:pPr>
            <w:r>
              <w:rPr>
                <w:rFonts w:ascii="Arial" w:hAnsi="Arial"/>
                <w:b/>
                <w:sz w:val="18"/>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480" w:after="0"/>
        <w:jc w:val="center"/>
        <w:rPr>
          <w:rFonts w:ascii="Times New Roman" w:hAnsi="Times New Roman"/>
          <w:b/>
          <w:sz w:val="48"/>
        </w:rPr>
      </w:pPr>
      <w:r>
        <w:rPr>
          <w:rFonts w:ascii="Times New Roman" w:hAnsi="Times New Roman"/>
          <w:b/>
          <w:sz w:val="48"/>
        </w:rPr>
        <w:t xml:space="preserve">CAESARS ENTERTAINMENT, INC. </w:t>
      </w:r>
    </w:p>
    <w:p>
      <w:pPr>
        <w:pStyle w:val="TextBody"/>
        <w:bidi w:val="0"/>
        <w:spacing w:before="40" w:after="0"/>
        <w:jc w:val="center"/>
        <w:rPr>
          <w:rFonts w:ascii="Arial" w:hAnsi="Arial"/>
          <w:b/>
          <w:sz w:val="18"/>
        </w:rPr>
      </w:pPr>
      <w:r>
        <w:rPr>
          <w:rFonts w:ascii="Arial" w:hAnsi="Arial"/>
          <w:b/>
          <w:sz w:val="18"/>
        </w:rPr>
        <w:t xml:space="preserve">(Name of Registrant as Specified in its Charter) </w:t>
      </w:r>
    </w:p>
    <w:p>
      <w:pPr>
        <w:pStyle w:val="TextBody"/>
        <w:bidi w:val="0"/>
        <w:spacing w:before="0" w:after="0"/>
        <w:jc w:val="left"/>
        <w:rPr/>
      </w:pPr>
      <w:r>
        <w:rPr/>
        <w:t> </w:t>
      </w:r>
    </w:p>
    <w:p>
      <w:pPr>
        <w:pStyle w:val="TextBody"/>
        <w:bidi w:val="0"/>
        <w:spacing w:before="240" w:after="0"/>
        <w:jc w:val="center"/>
        <w:rPr>
          <w:rFonts w:ascii="Arial" w:hAnsi="Arial"/>
          <w:b/>
          <w:sz w:val="16"/>
        </w:rPr>
      </w:pPr>
      <w:r>
        <w:rPr>
          <w:rFonts w:ascii="Arial" w:hAnsi="Arial"/>
          <w:b/>
          <w:sz w:val="16"/>
        </w:rPr>
        <w:t xml:space="preserve">(Name of Person(s) Filing Proxy Statement, if Other Than the Registrant) </w:t>
      </w:r>
    </w:p>
    <w:p>
      <w:pPr>
        <w:pStyle w:val="TextBody"/>
        <w:bidi w:val="0"/>
        <w:spacing w:before="48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Arial" w:hAnsi="Arial"/>
                <w:sz w:val="18"/>
              </w:rPr>
            </w:pPr>
            <w:r>
              <w:rPr>
                <w:rFonts w:ascii="Arial" w:hAnsi="Arial"/>
                <w:sz w:val="18"/>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180" w:after="0"/>
        <w:jc w:val="center"/>
        <w:rPr>
          <w:rFonts w:ascii="Times New Roman" w:hAnsi="Times New Roman"/>
          <w:b/>
          <w:sz w:val="24"/>
        </w:rPr>
      </w:pPr>
      <w:r>
        <w:rPr>
          <w:rFonts w:ascii="Times New Roman" w:hAnsi="Times New Roman"/>
          <w:b/>
          <w:sz w:val="24"/>
        </w:rPr>
        <w:t xml:space="preserve">September 15, 2026 </w:t>
      </w:r>
    </w:p>
    <w:p>
      <w:pPr>
        <w:pStyle w:val="TextBody"/>
        <w:bidi w:val="0"/>
        <w:spacing w:before="0" w:after="0"/>
        <w:jc w:val="center"/>
        <w:rPr>
          <w:rFonts w:ascii="Times New Roman" w:hAnsi="Times New Roman"/>
          <w:b/>
          <w:sz w:val="24"/>
        </w:rPr>
      </w:pPr>
      <w:r>
        <w:rPr>
          <w:rFonts w:ascii="Times New Roman" w:hAnsi="Times New Roman"/>
          <w:b/>
          <w:sz w:val="24"/>
        </w:rPr>
        <w:t xml:space="preserve">Date of Report (Date of earliest event reported)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CAESARS ENTERTAINMENT,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001-36629</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46-3657681</w:t>
            </w:r>
          </w:p>
        </w:tc>
      </w:tr>
      <w:tr>
        <w:trPr/>
        <w:tc>
          <w:tcPr>
            <w:tcW w:w="3469"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(Commission</w:t>
              <w:br/>
              <w:t>File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(IRS Employer</w:t>
              <w:br/>
              <w:t>Identification No.)</w:t>
            </w:r>
          </w:p>
        </w:tc>
      </w:tr>
    </w:tbl>
    <w:p>
      <w:pPr>
        <w:pStyle w:val="TextBody"/>
        <w:bidi w:val="0"/>
        <w:spacing w:before="180" w:after="0"/>
        <w:jc w:val="center"/>
        <w:rPr>
          <w:rFonts w:ascii="Times New Roman" w:hAnsi="Times New Roman"/>
          <w:b/>
          <w:sz w:val="20"/>
        </w:rPr>
      </w:pPr>
      <w:r>
        <w:rPr>
          <w:rFonts w:ascii="Times New Roman" w:hAnsi="Times New Roman"/>
          <w:b/>
          <w:sz w:val="20"/>
        </w:rPr>
        <w:t xml:space="preserve">100 West Liberty Street, 12th Floor, Reno, Nevada 89501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180" w:after="0"/>
        <w:jc w:val="center"/>
        <w:rPr>
          <w:rFonts w:ascii="Times New Roman" w:hAnsi="Times New Roman"/>
          <w:b/>
          <w:sz w:val="20"/>
        </w:rPr>
      </w:pPr>
      <w:r>
        <w:rPr>
          <w:rFonts w:ascii="Times New Roman" w:hAnsi="Times New Roman"/>
          <w:b/>
          <w:sz w:val="20"/>
        </w:rPr>
        <w:t xml:space="preserve">(775) 328-0100 </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18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18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471" w:type="dxa"/>
            <w:tcBorders/>
          </w:tcPr>
          <w:p>
            <w:pPr>
              <w:pStyle w:val="TableContents"/>
              <w:bidi w:val="0"/>
              <w:spacing w:before="0" w:after="283"/>
              <w:jc w:val="center"/>
              <w:rPr/>
            </w:pPr>
            <w:r>
              <w:rPr/>
              <w:t>Common stock, $0.00001 par value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CZR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NASDAQ Stock Market</w:t>
            </w:r>
          </w:p>
        </w:tc>
      </w:tr>
    </w:tbl>
    <w:p>
      <w:pPr>
        <w:pStyle w:val="TextBody"/>
        <w:bidi w:val="0"/>
        <w:spacing w:before="18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8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18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0"/>
        <w:gridCol w:w="9085"/>
      </w:tblGrid>
      <w:tr>
        <w:trPr/>
        <w:tc>
          <w:tcPr>
            <w:tcW w:w="1120" w:type="dxa"/>
            <w:tcBorders/>
          </w:tcPr>
          <w:p>
            <w:pPr>
              <w:pStyle w:val="TableContents"/>
              <w:bidi w:val="0"/>
              <w:spacing w:before="0" w:after="283"/>
              <w:jc w:val="left"/>
              <w:rPr>
                <w:b/>
              </w:rPr>
            </w:pPr>
            <w:r>
              <w:rPr>
                <w:b/>
              </w:rPr>
              <w:t>Item 8.01</w:t>
            </w:r>
          </w:p>
        </w:tc>
        <w:tc>
          <w:tcPr>
            <w:tcW w:w="90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May 27, 2026, Caesars Entertainment, Inc. (the “Company”), Fertitta Gaming Holdco, LLC, a Nevada limited liability company (“Fertitta Entertainment”), Empire Merger Sub, Inc., a Delaware corporation and direct wholly owned subsidiary of Fertitta Entertainment (“Merger Sub”), Landry’s Fertitta, LLC, a Texas limited liability company (“Guarantor”) solely for the purposes of Section 9.14 therein, and Hospitality Headquarters, Inc., a Texas corporation, solely for the purposes of Section 9.14(j) therein, entered into an Agreement and Plan of Merger (the “Merger Agreement”), pursuant to which Merger Sub will merge with and into the Company, with the Company continuing as the surviving corporation and direct wholly owned subsidiary of Fertitta Entertainment (the “Merger”). </w:t>
      </w:r>
    </w:p>
    <w:p>
      <w:pPr>
        <w:pStyle w:val="TextBody"/>
        <w:bidi w:val="0"/>
        <w:spacing w:before="240" w:after="0"/>
        <w:jc w:val="left"/>
        <w:rPr>
          <w:rFonts w:ascii="Times New Roman" w:hAnsi="Times New Roman"/>
          <w:sz w:val="20"/>
        </w:rPr>
      </w:pPr>
      <w:r>
        <w:rPr>
          <w:rFonts w:ascii="Times New Roman" w:hAnsi="Times New Roman"/>
          <w:sz w:val="20"/>
        </w:rPr>
        <w:t xml:space="preserve">On September 15, 2026, the Company received a demand letter (the “Demand Letter”) from a purported stockholder of the Company. The Demand Letter seeks to inspect certain books and records of the Company pursuant to Section 220 of the General Corporation Law of the State of Delaware and alleges, among other things, that the Company’s definitive proxy statement on Schedule 14A filed with the U.S. Securities and Exchange Commission (the “SEC”) on August 25, 2026 (the “Definitive Proxy Statement”) omits material information regarding the engagement of the Company’s outside legal counsel Latham &amp; Watkins LLP (“Latham”), including concurrent representations by such counsel of Fertitta Entertainment and its affiliates in matters unrelated to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that the claims asserted in the Demand Letter are without merit, immaterial, and that no further disclosure is required under applicable law. However, in order to avoid the risk of the Demand Letter delaying or adversely affecting the Merger and to minimize the costs, risks and uncertainties inherent in litigation, and without admitting any liability or wrongdoing, the Company has determined to voluntarily supplement the Definitive Proxy Statement as described in this Current Report on Form 8-K (this “Current Report”). Nothing in this Current Report shall be deemed an admission of the legal necessity or materiality under applicable laws of any of the disclosures set forth herein. To the contrary, the Company specifically denies all allegations in the Demand Letter that any additional disclosure was or is required.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Supplemental Disclosures to the Definitive Proxy Statement </w:t>
      </w:r>
    </w:p>
    <w:p>
      <w:pPr>
        <w:pStyle w:val="TextBody"/>
        <w:bidi w:val="0"/>
        <w:spacing w:before="120" w:after="0"/>
        <w:jc w:val="left"/>
        <w:rPr>
          <w:rFonts w:ascii="Times New Roman" w:hAnsi="Times New Roman"/>
          <w:sz w:val="20"/>
        </w:rPr>
      </w:pPr>
      <w:r>
        <w:rPr>
          <w:rFonts w:ascii="Times New Roman" w:hAnsi="Times New Roman"/>
          <w:sz w:val="20"/>
        </w:rPr>
        <w:t xml:space="preserve">The supplemental information contained in this Current Report supplements the disclosures contained in the Definitive Proxy Statement, which should be read in its entirety. Terms used but not defined herein have the meanings ascribed to them in the Definitive Proxy Statement. Without admitting in any way that the disclosures set forth below are material or otherwise required to be disclosed under applicable law, the Company is making the following supplemental disclosures. </w:t>
      </w:r>
    </w:p>
    <w:p>
      <w:pPr>
        <w:pStyle w:val="TextBody"/>
        <w:bidi w:val="0"/>
        <w:spacing w:before="360" w:after="0"/>
        <w:jc w:val="left"/>
        <w:rPr>
          <w:rFonts w:ascii="Times New Roman" w:hAnsi="Times New Roman"/>
          <w:i/>
          <w:sz w:val="20"/>
        </w:rPr>
      </w:pPr>
      <w:r>
        <w:rPr>
          <w:rFonts w:ascii="Times New Roman" w:hAnsi="Times New Roman"/>
          <w:i/>
          <w:sz w:val="20"/>
        </w:rPr>
        <w:t xml:space="preserve">Engagement of the Company’s Outside Legal Counsel </w:t>
      </w:r>
    </w:p>
    <w:p>
      <w:pPr>
        <w:pStyle w:val="TextBody"/>
        <w:bidi w:val="0"/>
        <w:spacing w:before="120" w:after="0"/>
        <w:jc w:val="left"/>
        <w:rPr>
          <w:rFonts w:ascii="Times New Roman" w:hAnsi="Times New Roman"/>
          <w:sz w:val="20"/>
        </w:rPr>
      </w:pPr>
      <w:r>
        <w:rPr>
          <w:rFonts w:ascii="Times New Roman" w:hAnsi="Times New Roman"/>
          <w:sz w:val="20"/>
        </w:rPr>
        <w:t xml:space="preserve">Latham serves as the Company’s outside legal counsel in connection with the sale process and the Merger. A separate team of Latham attorneys has represented, and continues to represent, Tilman J. Fertitta and/or certain of his affiliates in matters unrelated to the Merger and to the Company. The legal fees paid or payable to Latham in connection with these unrelated matters are significantly less than the fees expected to be paid to Latham by the Company in connection with the Merger.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Certain Information Regarding Participants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certain of its directors and executive officers may be deemed to be participants in the solicitation of proxies from its stockholders in respect of the proposed transaction under the rules of the SEC. Information regarding the persons who may, under the rules of the SEC, be considered to be participants in the solicitation of the Company’s stockholders in connection with the proposed transaction is set forth in the Definitive Proxy Statement. You may also find additional information regarding the names, affiliations and interests of the Company’s directors and executive officers in the Company’s Annual Report on Form 10-K for the year ended December 31, 2025, which was filed with the SEC on February 17, 2026, the Company’s definitive proxy statement for its 2026 annual meeting of stockholders, which was filed with the SEC on April 23, 2026, and, to the extent holdings of the Company’s securities by its directors or executive officers have changed since the amounts set forth in the Company’s definitive proxy statement for its 2026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Other information regarding the participants in the proxy solicitation and a description of their direct and indirect interests, by security holdings or otherwise, is contained in the Definitive Proxy Statement and other relevant materials filed with the SEC regarding the proposed transaction. Investors should read the Definitive Proxy Statement in its entirety before making any voting or investment decisions.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15"/>
        <w:gridCol w:w="109"/>
        <w:gridCol w:w="395"/>
        <w:gridCol w:w="109"/>
        <w:gridCol w:w="371"/>
        <w:gridCol w:w="109"/>
        <w:gridCol w:w="4697"/>
      </w:tblGrid>
      <w:tr>
        <w:trPr/>
        <w:tc>
          <w:tcPr>
            <w:tcW w:w="441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697" w:type="dxa"/>
            <w:tcBorders/>
            <w:vAlign w:val="center"/>
          </w:tcPr>
          <w:p>
            <w:pPr>
              <w:pStyle w:val="TableContents"/>
              <w:bidi w:val="0"/>
              <w:spacing w:before="0" w:after="283"/>
              <w:jc w:val="left"/>
              <w:rPr>
                <w:sz w:val="4"/>
                <w:szCs w:val="4"/>
              </w:rPr>
            </w:pPr>
            <w:r>
              <w:rPr>
                <w:sz w:val="4"/>
                <w:szCs w:val="4"/>
              </w:rPr>
            </w:r>
          </w:p>
        </w:tc>
      </w:tr>
      <w:tr>
        <w:trPr/>
        <w:tc>
          <w:tcPr>
            <w:tcW w:w="441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177" w:type="dxa"/>
            <w:gridSpan w:val="3"/>
            <w:tcBorders/>
            <w:vAlign w:val="bottom"/>
          </w:tcPr>
          <w:p>
            <w:pPr>
              <w:pStyle w:val="TableContents"/>
              <w:bidi w:val="0"/>
              <w:spacing w:before="0" w:after="283"/>
              <w:jc w:val="left"/>
              <w:rPr/>
            </w:pPr>
            <w:r>
              <w:rPr/>
              <w:t>CAESARS ENTERTAINMENT, INC.</w:t>
            </w:r>
          </w:p>
        </w:tc>
      </w:tr>
      <w:tr>
        <w:trPr>
          <w:trHeight w:val="240" w:hRule="atLeast"/>
        </w:trPr>
        <w:tc>
          <w:tcPr>
            <w:tcW w:w="4415" w:type="dxa"/>
            <w:tcBorders/>
            <w:vAlign w:val="center"/>
          </w:tcPr>
          <w:p>
            <w:pPr>
              <w:pStyle w:val="TableContents"/>
              <w:bidi w:val="0"/>
              <w:spacing w:before="0" w:after="283"/>
              <w:jc w:val="left"/>
              <w:rPr>
                <w:sz w:val="4"/>
                <w:szCs w:val="4"/>
              </w:rPr>
            </w:pPr>
            <w:r>
              <w:rPr>
                <w:sz w:val="4"/>
                <w:szCs w:val="4"/>
              </w:rPr>
            </w:r>
          </w:p>
        </w:tc>
        <w:tc>
          <w:tcPr>
            <w:tcW w:w="504" w:type="dxa"/>
            <w:gridSpan w:val="2"/>
            <w:tcBorders/>
            <w:vAlign w:val="center"/>
          </w:tcPr>
          <w:p>
            <w:pPr>
              <w:pStyle w:val="TableContents"/>
              <w:bidi w:val="0"/>
              <w:spacing w:before="0" w:after="283"/>
              <w:jc w:val="left"/>
              <w:rPr>
                <w:sz w:val="4"/>
                <w:szCs w:val="4"/>
              </w:rPr>
            </w:pPr>
            <w:r>
              <w:rPr>
                <w:sz w:val="4"/>
                <w:szCs w:val="4"/>
              </w:rPr>
            </w:r>
          </w:p>
        </w:tc>
        <w:tc>
          <w:tcPr>
            <w:tcW w:w="480" w:type="dxa"/>
            <w:gridSpan w:val="2"/>
            <w:tcBorders/>
            <w:vAlign w:val="center"/>
          </w:tcPr>
          <w:p>
            <w:pPr>
              <w:pStyle w:val="TableContents"/>
              <w:bidi w:val="0"/>
              <w:spacing w:before="0" w:after="283"/>
              <w:jc w:val="left"/>
              <w:rPr>
                <w:sz w:val="4"/>
                <w:szCs w:val="4"/>
              </w:rPr>
            </w:pPr>
            <w:r>
              <w:rPr>
                <w:sz w:val="4"/>
                <w:szCs w:val="4"/>
              </w:rPr>
            </w:r>
          </w:p>
        </w:tc>
        <w:tc>
          <w:tcPr>
            <w:tcW w:w="4806" w:type="dxa"/>
            <w:gridSpan w:val="2"/>
            <w:tcBorders/>
            <w:vAlign w:val="center"/>
          </w:tcPr>
          <w:p>
            <w:pPr>
              <w:pStyle w:val="TableContents"/>
              <w:bidi w:val="0"/>
              <w:spacing w:before="0" w:after="283"/>
              <w:jc w:val="left"/>
              <w:rPr>
                <w:sz w:val="4"/>
                <w:szCs w:val="4"/>
              </w:rPr>
            </w:pPr>
            <w:r>
              <w:rPr>
                <w:sz w:val="4"/>
                <w:szCs w:val="4"/>
              </w:rPr>
            </w:r>
          </w:p>
        </w:tc>
      </w:tr>
      <w:tr>
        <w:trPr/>
        <w:tc>
          <w:tcPr>
            <w:tcW w:w="4415" w:type="dxa"/>
            <w:tcBorders/>
            <w:vAlign w:val="bottom"/>
          </w:tcPr>
          <w:p>
            <w:pPr>
              <w:pStyle w:val="TableContents"/>
              <w:bidi w:val="0"/>
              <w:spacing w:before="0" w:after="283"/>
              <w:jc w:val="left"/>
              <w:rPr/>
            </w:pPr>
            <w:r>
              <w:rPr/>
              <w:t>Date: September 22, 2026</w:t>
            </w:r>
          </w:p>
        </w:tc>
        <w:tc>
          <w:tcPr>
            <w:tcW w:w="10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69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Edmund L. Quatmann, Jr.</w:t>
            </w:r>
          </w:p>
        </w:tc>
      </w:tr>
      <w:tr>
        <w:trPr/>
        <w:tc>
          <w:tcPr>
            <w:tcW w:w="441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4697" w:type="dxa"/>
            <w:tcBorders/>
            <w:vAlign w:val="bottom"/>
          </w:tcPr>
          <w:p>
            <w:pPr>
              <w:pStyle w:val="TableContents"/>
              <w:bidi w:val="0"/>
              <w:spacing w:before="0" w:after="283"/>
              <w:jc w:val="left"/>
              <w:rPr>
                <w:b/>
              </w:rPr>
            </w:pPr>
            <w:r>
              <w:rPr>
                <w:b/>
              </w:rPr>
              <w:t>Edmund L. Quatmann, Jr.</w:t>
            </w:r>
          </w:p>
        </w:tc>
      </w:tr>
      <w:tr>
        <w:trPr/>
        <w:tc>
          <w:tcPr>
            <w:tcW w:w="441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4697" w:type="dxa"/>
            <w:tcBorders/>
            <w:vAlign w:val="bottom"/>
          </w:tcPr>
          <w:p>
            <w:pPr>
              <w:pStyle w:val="TableContents"/>
              <w:bidi w:val="0"/>
              <w:spacing w:before="0" w:after="283"/>
              <w:jc w:val="left"/>
              <w:rPr>
                <w:b/>
              </w:rPr>
            </w:pPr>
            <w:r>
              <w:rPr>
                <w:b/>
              </w:rPr>
              <w:t>Chief Legal Officer, Executive Vice President and</w:t>
              <w:br/>
              <w:t>Secretary</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1301</Words>
  <Characters>7231</Characters>
  <CharactersWithSpaces>8578</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