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-258445</wp:posOffset>
            </wp:positionV>
            <wp:extent cx="118745" cy="169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69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180" w:space="28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Broome Richard D</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CAESARS PALACE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CAESARS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CZR</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07/20/2020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25"/>
        <w:spacing w:after="0"/>
        <w:rPr>
          <w:sz w:val="20"/>
          <w:szCs w:val="20"/>
          <w:color w:val="auto"/>
        </w:rPr>
      </w:pPr>
      <w:r>
        <w:rPr>
          <w:rFonts w:ascii="Arial" w:cs="Arial" w:eastAsia="Arial" w:hAnsi="Arial"/>
          <w:sz w:val="17"/>
          <w:szCs w:val="17"/>
          <w:color w:val="0000FF"/>
        </w:rPr>
        <w:t>EVP Communications-Gov Rltns</w:t>
      </w:r>
    </w:p>
    <w:p>
      <w:pPr>
        <w:spacing w:after="0" w:line="329" w:lineRule="exact"/>
        <w:rPr>
          <w:sz w:val="24"/>
          <w:szCs w:val="24"/>
          <w:color w:val="auto"/>
        </w:rPr>
      </w:pPr>
    </w:p>
    <w:p>
      <w:pPr>
        <w:sectPr>
          <w:pgSz w:w="11900" w:h="16838" w:orient="portrait"/>
          <w:cols w:equalWidth="0" w:num="3">
            <w:col w:w="3200" w:space="720"/>
            <w:col w:w="3260" w:space="555"/>
            <w:col w:w="3345"/>
          </w:cols>
          <w:pgMar w:left="460" w:top="225"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LAS VEGAS</w:t>
            </w:r>
          </w:p>
        </w:tc>
        <w:tc>
          <w:tcPr>
            <w:tcW w:w="960" w:type="dxa"/>
            <w:vAlign w:val="bottom"/>
          </w:tcPr>
          <w:p>
            <w:pPr>
              <w:ind w:left="140"/>
              <w:spacing w:after="0"/>
              <w:rPr>
                <w:sz w:val="20"/>
                <w:szCs w:val="20"/>
                <w:color w:val="auto"/>
              </w:rPr>
            </w:pPr>
            <w:r>
              <w:rPr>
                <w:rFonts w:ascii="Arial" w:cs="Arial" w:eastAsia="Arial" w:hAnsi="Arial"/>
                <w:sz w:val="17"/>
                <w:szCs w:val="17"/>
                <w:color w:val="0000FF"/>
              </w:rPr>
              <w:t>NV</w:t>
            </w:r>
          </w:p>
        </w:tc>
        <w:tc>
          <w:tcPr>
            <w:tcW w:w="1600" w:type="dxa"/>
            <w:vAlign w:val="bottom"/>
          </w:tcPr>
          <w:p>
            <w:pPr>
              <w:ind w:left="400"/>
              <w:spacing w:after="0"/>
              <w:rPr>
                <w:sz w:val="20"/>
                <w:szCs w:val="20"/>
                <w:color w:val="auto"/>
              </w:rPr>
            </w:pPr>
            <w:r>
              <w:rPr>
                <w:rFonts w:ascii="Arial" w:cs="Arial" w:eastAsia="Arial" w:hAnsi="Arial"/>
                <w:sz w:val="17"/>
                <w:szCs w:val="17"/>
                <w:color w:val="0000FF"/>
              </w:rPr>
              <w:t>89109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159385</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07/20/2020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106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0000FF"/>
              </w:rPr>
              <w:t>30,880</w:t>
            </w:r>
            <w:r>
              <w:rPr>
                <w:rFonts w:ascii="Arial" w:cs="Arial" w:eastAsia="Arial" w:hAnsi="Arial"/>
                <w:sz w:val="22"/>
                <w:szCs w:val="22"/>
                <w:color w:val="008000"/>
                <w:vertAlign w:val="superscript"/>
              </w:rPr>
              <w:t>(1)(2)</w:t>
            </w:r>
          </w:p>
        </w:tc>
        <w:tc>
          <w:tcPr>
            <w:tcW w:w="36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gridSpan w:val="3"/>
          </w:tcPr>
          <w:p>
            <w:pPr>
              <w:jc w:val="right"/>
              <w:ind w:right="120"/>
              <w:spacing w:after="0"/>
              <w:rPr>
                <w:sz w:val="20"/>
                <w:szCs w:val="20"/>
                <w:color w:val="auto"/>
              </w:rPr>
            </w:pPr>
            <w:r>
              <w:rPr>
                <w:rFonts w:ascii="Arial" w:cs="Arial" w:eastAsia="Arial" w:hAnsi="Arial"/>
                <w:sz w:val="11"/>
                <w:szCs w:val="11"/>
                <w:color w:val="008000"/>
              </w:rPr>
              <w:t>(1)(2)</w:t>
            </w:r>
          </w:p>
        </w:tc>
        <w:tc>
          <w:tcPr>
            <w:tcW w:w="1200" w:type="dxa"/>
            <w:vAlign w:val="bottom"/>
            <w:tcBorders>
              <w:bottom w:val="single" w:sz="8" w:color="2C2C2C"/>
            </w:tcBorders>
            <w:gridSpan w:val="2"/>
          </w:tcPr>
          <w:p>
            <w:pPr>
              <w:jc w:val="right"/>
              <w:ind w:right="297"/>
              <w:spacing w:after="0"/>
              <w:rPr>
                <w:sz w:val="20"/>
                <w:szCs w:val="20"/>
                <w:color w:val="auto"/>
              </w:rPr>
            </w:pPr>
            <w:r>
              <w:rPr>
                <w:rFonts w:ascii="Arial" w:cs="Arial" w:eastAsia="Arial" w:hAnsi="Arial"/>
                <w:sz w:val="17"/>
                <w:szCs w:val="17"/>
                <w:color w:val="0000FF"/>
              </w:rPr>
              <w:t>107,686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07/20/2020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w w:val="83"/>
              </w:rPr>
              <w:t>107,686</w:t>
            </w:r>
            <w:r>
              <w:rPr>
                <w:rFonts w:ascii="Arial" w:cs="Arial" w:eastAsia="Arial" w:hAnsi="Arial"/>
                <w:sz w:val="22"/>
                <w:szCs w:val="22"/>
                <w:color w:val="008000"/>
                <w:w w:val="83"/>
                <w:vertAlign w:val="superscript"/>
              </w:rPr>
              <w:t>(3)</w:t>
            </w:r>
          </w:p>
        </w:tc>
        <w:tc>
          <w:tcPr>
            <w:tcW w:w="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D</w:t>
            </w: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1"/>
                <w:szCs w:val="11"/>
                <w:color w:val="008000"/>
              </w:rPr>
              <w:t>(3)</w:t>
            </w: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517"/>
              <w:spacing w:after="0"/>
              <w:rPr>
                <w:sz w:val="20"/>
                <w:szCs w:val="20"/>
                <w:color w:val="auto"/>
              </w:rPr>
            </w:pPr>
            <w:r>
              <w:rPr>
                <w:rFonts w:ascii="Arial" w:cs="Arial" w:eastAsia="Arial" w:hAnsi="Arial"/>
                <w:sz w:val="17"/>
                <w:szCs w:val="17"/>
                <w:color w:val="0000FF"/>
              </w:rPr>
              <w:t>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28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7"/>
        <w:spacing w:after="0" w:line="281" w:lineRule="auto"/>
        <w:tabs>
          <w:tab w:leader="none" w:pos="17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On July 20, 2020, pursuant to that certain Agreement and Plan of Merger, dated as of June 24, 2019 (as amended by Amendment No. 1 to Agreement and Plan of Merger, dated as of August 15, 2019, the "Merger Agreement"), by and among Caesars Entertainment Corporation, a Delaware corporation (the "Company"), Eldorado Resorts, Inc., a Nevada corporation ("New Caesars") and Colt Merger Sub, Inc., a Delaware corporation and a wholly owned subsidiary of New Caesars ("Merger Sub"), Merger Sub merged with and into the Company (the "Merger").</w:t>
      </w:r>
    </w:p>
    <w:p>
      <w:pPr>
        <w:spacing w:after="0" w:line="8" w:lineRule="exact"/>
        <w:rPr>
          <w:rFonts w:ascii="Arial" w:cs="Arial" w:eastAsia="Arial" w:hAnsi="Arial"/>
          <w:sz w:val="12"/>
          <w:szCs w:val="12"/>
          <w:color w:val="008000"/>
        </w:rPr>
      </w:pPr>
    </w:p>
    <w:p>
      <w:pPr>
        <w:ind w:left="40" w:right="280" w:firstLine="7"/>
        <w:spacing w:after="0" w:line="250"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(Continued from footnote 1) The Company stockholders were entitled to receive consideration per Company share equal to, at the election of the holder thereof and subject to the proration procedures described in the Merger Agreement, approximately $12.41 in cash or approximately 0.3085 shares of New Caesars Common Stock with a value equal to approximately $12.41 (based on the volume weighted average price per share of New Caesars Common Stock for the 10 trading days ending on July 16, 2020).</w:t>
      </w:r>
    </w:p>
    <w:p>
      <w:pPr>
        <w:spacing w:after="0" w:line="25" w:lineRule="exact"/>
        <w:rPr>
          <w:rFonts w:ascii="Arial" w:cs="Arial" w:eastAsia="Arial" w:hAnsi="Arial"/>
          <w:sz w:val="13"/>
          <w:szCs w:val="13"/>
          <w:color w:val="008000"/>
        </w:rPr>
      </w:pPr>
    </w:p>
    <w:p>
      <w:pPr>
        <w:ind w:left="40" w:right="220" w:firstLine="7"/>
        <w:spacing w:after="0" w:line="250"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time-vesting restricted stock units. Pursuant to the terms of the Merger Agreement, at the effective time of the Merger (the "Effective Time"), each such outstanding restricted stock unit was converted into a number of time-based restricted stock units in respect of shares of New Caesars common stock in an amount equal to (a) the per share merger consideration amount divided by (b) the volume weighted average price per share of New Caesars Common Stock for the 10 trading days ending on July 16, 2020.</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Jill Eaton, by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423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line="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Attorney, on behalf of Richard 07/22/2020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D. Broome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88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435657" TargetMode="External"/><Relationship Id="rId14" Type="http://schemas.openxmlformats.org/officeDocument/2006/relationships/hyperlink" Target="http://www.sec.gov/cgi-bin/browse-edgar?action=getcompany&amp;CIK=00008583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2020-07-22T17:45:31Z</dcterms:created>
  <dcterms:modified xsi:type="dcterms:W3CDTF">2020-07-22T17:45:31Z</dcterms:modified>
</cp:coreProperties>
</file>