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28,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CAESARS ENTERTAINMENT,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86" w:right="339" w:bottom="1440" w:gutter="0" w:footer="0" w:header="0"/>
        </w:sectPr>
      </w:pPr>
    </w:p>
    <w:p>
      <w:pPr>
        <w:spacing w:after="0" w:line="35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001-36629</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46-3657681</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119" w:lineRule="exact"/>
        <w:rPr>
          <w:sz w:val="24"/>
          <w:szCs w:val="24"/>
          <w:color w:val="auto"/>
        </w:rPr>
      </w:pPr>
    </w:p>
    <w:p>
      <w:pPr>
        <w:sectPr>
          <w:pgSz w:w="11900" w:h="16838" w:orient="portrait"/>
          <w:cols w:equalWidth="0" w:num="3">
            <w:col w:w="3880" w:space="720"/>
            <w:col w:w="2700" w:space="720"/>
            <w:col w:w="3220"/>
          </w:cols>
          <w:pgMar w:left="320" w:top="1186" w:right="339" w:bottom="1440" w:gutter="0" w:footer="0" w:header="0"/>
          <w:type w:val="continuous"/>
        </w:sectPr>
      </w:pPr>
    </w:p>
    <w:p>
      <w:pPr>
        <w:ind w:left="3440"/>
        <w:spacing w:after="0"/>
        <w:rPr>
          <w:sz w:val="20"/>
          <w:szCs w:val="20"/>
          <w:color w:val="auto"/>
        </w:rPr>
      </w:pPr>
      <w:r>
        <w:rPr>
          <w:rFonts w:ascii="Times New Roman" w:cs="Times New Roman" w:eastAsia="Times New Roman" w:hAnsi="Times New Roman"/>
          <w:sz w:val="17"/>
          <w:szCs w:val="17"/>
          <w:b w:val="1"/>
          <w:bCs w:val="1"/>
          <w:color w:val="auto"/>
        </w:rPr>
        <w:t>100 West Liberty Street, 12th Floor, Reno, Nevada 89501</w:t>
      </w:r>
    </w:p>
    <w:p>
      <w:pPr>
        <w:spacing w:after="0" w:line="4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ectPr>
          <w:pgSz w:w="11900" w:h="16838" w:orient="portrait"/>
          <w:cols w:equalWidth="0" w:num="1">
            <w:col w:w="11240"/>
          </w:cols>
          <w:pgMar w:left="320" w:top="1186" w:right="339" w:bottom="1440" w:gutter="0" w:footer="0" w:header="0"/>
          <w:type w:val="continuous"/>
        </w:sectPr>
      </w:pP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328-0100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5"/>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51"/>
        </w:trPr>
        <w:tc>
          <w:tcPr>
            <w:tcW w:w="32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Common stock, $0.00001 par value</w:t>
            </w: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CZR</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314"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Attached and incorporated herein by reference as Exhibit 99.1 is a copy of the press release of the Registrant, dated October 28, 2025, reporting the Registrant’s financial results for the quarter ended September 30, 2025.</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the exhibit furnished herewith, shall not be deemed “filed” for purposes of Section 18 of the Securities Exchange Act of 1934, as amended, or otherwise incorporated by reference in any filing pursuant to the Securities Act of 1933, as amended, or the Securities Exchange Act of 1934, as amended, except as shall be expressly set forth by specific reference in such a filing. The furnishing of the information in this report, including the exhibit furnished herewith, is not intended to, and does not, constitute a determination or admission as to the materiality or completeness of such information.</w:t>
      </w:r>
    </w:p>
    <w:p>
      <w:pPr>
        <w:spacing w:after="0" w:line="1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 is being filed herewith:</w:t>
      </w:r>
    </w:p>
    <w:p>
      <w:pPr>
        <w:spacing w:after="0" w:line="171"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October 28, 2025</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CAESARS ENTERTAINMENT, INC.</w:t>
      </w:r>
    </w:p>
    <w:p>
      <w:pPr>
        <w:spacing w:after="0" w:line="293" w:lineRule="exact"/>
        <w:rPr>
          <w:sz w:val="20"/>
          <w:szCs w:val="20"/>
          <w:color w:val="auto"/>
        </w:rPr>
      </w:pPr>
    </w:p>
    <w:p>
      <w:pPr>
        <w:ind w:left="20"/>
        <w:spacing w:after="0"/>
        <w:tabs>
          <w:tab w:leader="none" w:pos="640" w:val="left"/>
          <w:tab w:leader="none" w:pos="4980" w:val="left"/>
          <w:tab w:leader="none" w:pos="8200" w:val="left"/>
        </w:tabs>
        <w:rPr>
          <w:sz w:val="20"/>
          <w:szCs w:val="20"/>
          <w:color w:val="auto"/>
        </w:rPr>
      </w:pPr>
      <w:r>
        <w:rPr>
          <w:rFonts w:ascii="Times New Roman" w:cs="Times New Roman" w:eastAsia="Times New Roman" w:hAnsi="Times New Roman"/>
          <w:sz w:val="18"/>
          <w:szCs w:val="18"/>
          <w:color w:val="auto"/>
        </w:rPr>
        <w:t>Date:</w:t>
        <w:tab/>
        <w:t>October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6"/>
          <w:szCs w:val="16"/>
          <w:b w:val="1"/>
          <w:bCs w:val="1"/>
          <w:color w:val="auto"/>
        </w:rPr>
        <w:t>Thomas R. Reeg</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ectPr>
          <w:pgSz w:w="11900" w:h="16838" w:orient="portrait"/>
          <w:cols w:equalWidth="0" w:num="1">
            <w:col w:w="11220"/>
          </w:cols>
          <w:pgMar w:left="320" w:top="1089"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17780</wp:posOffset>
            </wp:positionV>
            <wp:extent cx="2134235" cy="120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Entertainment, Inc. Reports Third Quarter 2025 Results</w:t>
      </w:r>
    </w:p>
    <w:p>
      <w:pPr>
        <w:spacing w:after="0" w:line="200" w:lineRule="exact"/>
        <w:rPr>
          <w:sz w:val="20"/>
          <w:szCs w:val="20"/>
          <w:color w:val="auto"/>
        </w:rPr>
      </w:pPr>
    </w:p>
    <w:p>
      <w:pPr>
        <w:spacing w:after="0" w:line="209" w:lineRule="exact"/>
        <w:rPr>
          <w:sz w:val="20"/>
          <w:szCs w:val="20"/>
          <w:color w:val="auto"/>
        </w:rPr>
      </w:pPr>
    </w:p>
    <w:p>
      <w:pPr>
        <w:spacing w:after="0" w:line="292" w:lineRule="auto"/>
        <w:rPr>
          <w:sz w:val="20"/>
          <w:szCs w:val="20"/>
          <w:color w:val="auto"/>
        </w:rPr>
      </w:pPr>
      <w:r>
        <w:rPr>
          <w:rFonts w:ascii="Arial" w:cs="Arial" w:eastAsia="Arial" w:hAnsi="Arial"/>
          <w:sz w:val="22"/>
          <w:szCs w:val="22"/>
          <w:b w:val="1"/>
          <w:bCs w:val="1"/>
          <w:color w:val="auto"/>
        </w:rPr>
        <w:t xml:space="preserve">LAS VEGAS and RENO, Nev. (October 28, 2025) </w:t>
      </w:r>
      <w:r>
        <w:rPr>
          <w:rFonts w:ascii="Arial" w:cs="Arial" w:eastAsia="Arial" w:hAnsi="Arial"/>
          <w:sz w:val="17"/>
          <w:szCs w:val="17"/>
          <w:color w:val="auto"/>
        </w:rPr>
        <w:t>– Caesars Entertainment, Inc., (NASDAQ: CZR) (“Caesars,” “CZR,” “CEI” or</w:t>
      </w:r>
      <w:r>
        <w:rPr>
          <w:rFonts w:ascii="Arial" w:cs="Arial" w:eastAsia="Arial" w:hAnsi="Arial"/>
          <w:sz w:val="22"/>
          <w:szCs w:val="22"/>
          <w:b w:val="1"/>
          <w:bCs w:val="1"/>
          <w:color w:val="auto"/>
        </w:rPr>
        <w:t xml:space="preserve"> </w:t>
      </w:r>
      <w:r>
        <w:rPr>
          <w:rFonts w:ascii="Arial" w:cs="Arial" w:eastAsia="Arial" w:hAnsi="Arial"/>
          <w:sz w:val="17"/>
          <w:szCs w:val="17"/>
          <w:color w:val="auto"/>
        </w:rPr>
        <w:t>the “Company”) today reported operating results for the third quarter ended September 30, 2025.</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2025 and Recent Highlights:</w:t>
      </w:r>
    </w:p>
    <w:p>
      <w:pPr>
        <w:spacing w:after="0" w:line="9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revenues of $2.9 billion versus $2.9 billion for the comparable prior-year period.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of $55 million compared to a net loss of $9 million for the comparable prior-year period.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Same-store Adjusted EBITDA of $884 million versus $996 million for the comparable prior-year period.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Caesars Digital Adjusted EBITDA of $28 million versus $52 million for the comparable prior-year period.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Tom Reeg, Chief Executive Officer of Caesars Entertainment, Inc., commented, “Our regional portfolio delivered net revenues and Adjusted EBITDA growth as a result of consistent operating trends and continued positive returns from our capital projects. Our Las Vegas segment Adjusted EBITDA declined during the quarter due to lower city-wide visitation and poor table games hold. Volumes in our Caesars Digital segment were strong, driven by continued product improvements while Adjusted EBITDA was negatively impacted by lower-than-expected sports hold during September. As we look to the fourth quarter, we anticipate improved operating performance given stronger occupancy in Las Vegas, continued momentum in our Caesars Digital segment and stable operating trends in our regional portfolio.”</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2025 Financial Results Summary and Segment Information</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present actual 2025 and 2024 results as well as adjustments to net revenues, net income (loss) attributable to Caesars and Adjusted EBITDA for the effects of our completed divestiture in order to reflect amounts and percentage change on a same-store basis: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Revenues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right"/>
              <w:ind w:right="87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19"/>
              <w:spacing w:after="0" w:line="16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2024 Adj.</w:t>
            </w:r>
            <w:r>
              <w:rPr>
                <w:rFonts w:ascii="Arial" w:cs="Arial" w:eastAsia="Arial" w:hAnsi="Arial"/>
                <w:sz w:val="19"/>
                <w:szCs w:val="19"/>
                <w:b w:val="1"/>
                <w:bCs w:val="1"/>
                <w:i w:val="1"/>
                <w:iCs w:val="1"/>
                <w:color w:val="auto"/>
                <w:vertAlign w:val="superscript"/>
              </w:rPr>
              <w:t>(a)</w:t>
            </w:r>
          </w:p>
        </w:tc>
        <w:tc>
          <w:tcPr>
            <w:tcW w:w="140" w:type="dxa"/>
            <w:vAlign w:val="bottom"/>
          </w:tcPr>
          <w:p>
            <w:pPr>
              <w:spacing w:after="0"/>
              <w:rPr>
                <w:sz w:val="14"/>
                <w:szCs w:val="14"/>
                <w:color w:val="auto"/>
              </w:rPr>
            </w:pPr>
          </w:p>
        </w:tc>
        <w:tc>
          <w:tcPr>
            <w:tcW w:w="140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Adj. 2024 Total</w:t>
            </w:r>
          </w:p>
        </w:tc>
        <w:tc>
          <w:tcPr>
            <w:tcW w:w="80" w:type="dxa"/>
            <w:vAlign w:val="bottom"/>
          </w:tcPr>
          <w:p>
            <w:pPr>
              <w:spacing w:after="0"/>
              <w:rPr>
                <w:sz w:val="14"/>
                <w:szCs w:val="14"/>
                <w:color w:val="auto"/>
              </w:rPr>
            </w:pPr>
          </w:p>
        </w:tc>
        <w:tc>
          <w:tcPr>
            <w:tcW w:w="1680" w:type="dxa"/>
            <w:vAlign w:val="bottom"/>
          </w:tcPr>
          <w:p>
            <w:pPr>
              <w:jc w:val="right"/>
              <w:ind w:right="359"/>
              <w:spacing w:after="0" w:line="169"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1,446</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6.2 %</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7.4 %</w:t>
            </w: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40.0 %</w:t>
            </w:r>
          </w:p>
        </w:tc>
      </w:tr>
      <w:tr>
        <w:trPr>
          <w:trHeight w:val="210"/>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Caesars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2,869</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0.1 %</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i w:val="1"/>
          <w:iCs w:val="1"/>
          <w:color w:val="auto"/>
        </w:rPr>
        <w:t>Net Revenues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right"/>
              <w:ind w:right="919"/>
              <w:spacing w:after="0"/>
              <w:rPr>
                <w:sz w:val="20"/>
                <w:szCs w:val="20"/>
                <w:color w:val="auto"/>
              </w:rPr>
            </w:pPr>
            <w:r>
              <w:rPr>
                <w:rFonts w:ascii="Arial" w:cs="Arial" w:eastAsia="Arial" w:hAnsi="Arial"/>
                <w:sz w:val="16"/>
                <w:szCs w:val="16"/>
                <w:b w:val="1"/>
                <w:bCs w:val="1"/>
                <w:color w:val="auto"/>
              </w:rPr>
              <w:t>Nine Months Ended September 30,</w:t>
            </w: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19"/>
              <w:spacing w:after="0" w:line="16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2024 Adj.</w:t>
            </w:r>
            <w:r>
              <w:rPr>
                <w:rFonts w:ascii="Arial" w:cs="Arial" w:eastAsia="Arial" w:hAnsi="Arial"/>
                <w:sz w:val="19"/>
                <w:szCs w:val="19"/>
                <w:b w:val="1"/>
                <w:bCs w:val="1"/>
                <w:i w:val="1"/>
                <w:iCs w:val="1"/>
                <w:color w:val="auto"/>
                <w:vertAlign w:val="superscript"/>
              </w:rPr>
              <w:t>(a)</w:t>
            </w:r>
          </w:p>
        </w:tc>
        <w:tc>
          <w:tcPr>
            <w:tcW w:w="140" w:type="dxa"/>
            <w:vAlign w:val="bottom"/>
          </w:tcPr>
          <w:p>
            <w:pPr>
              <w:spacing w:after="0"/>
              <w:rPr>
                <w:sz w:val="14"/>
                <w:szCs w:val="14"/>
                <w:color w:val="auto"/>
              </w:rPr>
            </w:pPr>
          </w:p>
        </w:tc>
        <w:tc>
          <w:tcPr>
            <w:tcW w:w="140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Adj. 2024 Total</w:t>
            </w:r>
          </w:p>
        </w:tc>
        <w:tc>
          <w:tcPr>
            <w:tcW w:w="80" w:type="dxa"/>
            <w:vAlign w:val="bottom"/>
          </w:tcPr>
          <w:p>
            <w:pPr>
              <w:spacing w:after="0"/>
              <w:rPr>
                <w:sz w:val="14"/>
                <w:szCs w:val="14"/>
                <w:color w:val="auto"/>
              </w:rPr>
            </w:pPr>
          </w:p>
        </w:tc>
        <w:tc>
          <w:tcPr>
            <w:tcW w:w="1680" w:type="dxa"/>
            <w:vAlign w:val="bottom"/>
          </w:tcPr>
          <w:p>
            <w:pPr>
              <w:jc w:val="right"/>
              <w:ind w:right="359"/>
              <w:spacing w:after="0" w:line="169"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center"/>
              <w:ind w:left="90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4,196</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14.9 %</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87.5 %</w:t>
            </w:r>
          </w:p>
        </w:tc>
      </w:tr>
      <w:tr>
        <w:trPr>
          <w:trHeight w:val="210"/>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Caesars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8,570</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8,446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center"/>
              <w:ind w:left="90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8,427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Income (Loss) Attributable to Caesars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right"/>
              <w:ind w:right="87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80" w:type="dxa"/>
            <w:vAlign w:val="bottom"/>
          </w:tcPr>
          <w:p>
            <w:pPr>
              <w:jc w:val="right"/>
              <w:ind w:right="499"/>
              <w:spacing w:after="0" w:line="169"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2024 Adj.</w:t>
            </w:r>
            <w:r>
              <w:rPr>
                <w:rFonts w:ascii="Arial" w:cs="Arial" w:eastAsia="Arial" w:hAnsi="Arial"/>
                <w:sz w:val="19"/>
                <w:szCs w:val="19"/>
                <w:b w:val="1"/>
                <w:bCs w:val="1"/>
                <w:i w:val="1"/>
                <w:iCs w:val="1"/>
                <w:color w:val="auto"/>
                <w:vertAlign w:val="superscript"/>
              </w:rPr>
              <w:t>(a)</w:t>
            </w:r>
          </w:p>
        </w:tc>
        <w:tc>
          <w:tcPr>
            <w:tcW w:w="140" w:type="dxa"/>
            <w:vAlign w:val="bottom"/>
          </w:tcPr>
          <w:p>
            <w:pPr>
              <w:spacing w:after="0"/>
              <w:rPr>
                <w:sz w:val="14"/>
                <w:szCs w:val="14"/>
                <w:color w:val="auto"/>
              </w:rPr>
            </w:pPr>
          </w:p>
        </w:tc>
        <w:tc>
          <w:tcPr>
            <w:tcW w:w="140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Adj. 2024 Total</w:t>
            </w:r>
          </w:p>
        </w:tc>
        <w:tc>
          <w:tcPr>
            <w:tcW w:w="80" w:type="dxa"/>
            <w:vAlign w:val="bottom"/>
          </w:tcPr>
          <w:p>
            <w:pPr>
              <w:spacing w:after="0"/>
              <w:rPr>
                <w:sz w:val="14"/>
                <w:szCs w:val="14"/>
                <w:color w:val="auto"/>
              </w:rPr>
            </w:pPr>
          </w:p>
        </w:tc>
        <w:tc>
          <w:tcPr>
            <w:tcW w:w="1680" w:type="dxa"/>
            <w:vAlign w:val="bottom"/>
          </w:tcPr>
          <w:p>
            <w:pPr>
              <w:jc w:val="right"/>
              <w:ind w:right="359"/>
              <w:spacing w:after="0" w:line="169" w:lineRule="exact"/>
              <w:rPr>
                <w:sz w:val="20"/>
                <w:szCs w:val="20"/>
                <w:color w:val="auto"/>
              </w:rPr>
            </w:pPr>
            <w:r>
              <w:rPr>
                <w:rFonts w:ascii="Arial" w:cs="Arial" w:eastAsia="Arial" w:hAnsi="Arial"/>
                <w:sz w:val="16"/>
                <w:szCs w:val="16"/>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5"/>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(55.2)%</w:t>
            </w:r>
          </w:p>
        </w:tc>
      </w:tr>
      <w:tr>
        <w:trPr>
          <w:trHeight w:val="217"/>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38.5 %</w:t>
            </w:r>
          </w:p>
        </w:tc>
      </w:tr>
      <w:tr>
        <w:trPr>
          <w:trHeight w:val="210"/>
        </w:trPr>
        <w:tc>
          <w:tcPr>
            <w:tcW w:w="2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6"/>
                <w:szCs w:val="16"/>
                <w:color w:val="auto"/>
              </w:rPr>
              <w:t>Caesars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Income (Loss) Attributable to Caesars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right"/>
              <w:ind w:right="919"/>
              <w:spacing w:after="0"/>
              <w:rPr>
                <w:sz w:val="20"/>
                <w:szCs w:val="20"/>
                <w:color w:val="auto"/>
              </w:rPr>
            </w:pPr>
            <w:r>
              <w:rPr>
                <w:rFonts w:ascii="Arial" w:cs="Arial" w:eastAsia="Arial" w:hAnsi="Arial"/>
                <w:sz w:val="16"/>
                <w:szCs w:val="16"/>
                <w:b w:val="1"/>
                <w:bCs w:val="1"/>
                <w:color w:val="auto"/>
              </w:rPr>
              <w:t>Nine Months Ended September 30,</w:t>
            </w: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19"/>
              <w:spacing w:after="0" w:line="16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2024 Adj.</w:t>
            </w:r>
            <w:r>
              <w:rPr>
                <w:rFonts w:ascii="Arial" w:cs="Arial" w:eastAsia="Arial" w:hAnsi="Arial"/>
                <w:sz w:val="19"/>
                <w:szCs w:val="19"/>
                <w:b w:val="1"/>
                <w:bCs w:val="1"/>
                <w:i w:val="1"/>
                <w:iCs w:val="1"/>
                <w:color w:val="auto"/>
                <w:vertAlign w:val="superscript"/>
              </w:rPr>
              <w:t>(a)</w:t>
            </w:r>
          </w:p>
        </w:tc>
        <w:tc>
          <w:tcPr>
            <w:tcW w:w="140" w:type="dxa"/>
            <w:vAlign w:val="bottom"/>
          </w:tcPr>
          <w:p>
            <w:pPr>
              <w:spacing w:after="0"/>
              <w:rPr>
                <w:sz w:val="14"/>
                <w:szCs w:val="14"/>
                <w:color w:val="auto"/>
              </w:rPr>
            </w:pPr>
          </w:p>
        </w:tc>
        <w:tc>
          <w:tcPr>
            <w:tcW w:w="140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Adj. 2024 Total</w:t>
            </w:r>
          </w:p>
        </w:tc>
        <w:tc>
          <w:tcPr>
            <w:tcW w:w="80" w:type="dxa"/>
            <w:vAlign w:val="bottom"/>
          </w:tcPr>
          <w:p>
            <w:pPr>
              <w:spacing w:after="0"/>
              <w:rPr>
                <w:sz w:val="14"/>
                <w:szCs w:val="14"/>
                <w:color w:val="auto"/>
              </w:rPr>
            </w:pPr>
          </w:p>
        </w:tc>
        <w:tc>
          <w:tcPr>
            <w:tcW w:w="1680" w:type="dxa"/>
            <w:vAlign w:val="bottom"/>
          </w:tcPr>
          <w:p>
            <w:pPr>
              <w:jc w:val="right"/>
              <w:ind w:right="359"/>
              <w:spacing w:after="0" w:line="169" w:lineRule="exact"/>
              <w:rPr>
                <w:sz w:val="20"/>
                <w:szCs w:val="20"/>
                <w:color w:val="auto"/>
              </w:rPr>
            </w:pPr>
            <w:r>
              <w:rPr>
                <w:rFonts w:ascii="Arial" w:cs="Arial" w:eastAsia="Arial" w:hAnsi="Arial"/>
                <w:sz w:val="16"/>
                <w:szCs w:val="16"/>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center"/>
              <w:ind w:left="9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(43.5)%</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10"/>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Caesars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center"/>
              <w:ind w:left="9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16.6 %</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23"/>
          <w:szCs w:val="23"/>
          <w:b w:val="1"/>
          <w:bCs w:val="1"/>
          <w:i w:val="1"/>
          <w:iCs w:val="1"/>
          <w:color w:val="auto"/>
          <w:vertAlign w:val="superscript"/>
        </w:rPr>
        <w:t>(b)</w:t>
      </w: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right"/>
              <w:ind w:right="87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19"/>
              <w:spacing w:after="0" w:line="16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2024 Adj.</w:t>
            </w:r>
            <w:r>
              <w:rPr>
                <w:rFonts w:ascii="Arial" w:cs="Arial" w:eastAsia="Arial" w:hAnsi="Arial"/>
                <w:sz w:val="19"/>
                <w:szCs w:val="19"/>
                <w:b w:val="1"/>
                <w:bCs w:val="1"/>
                <w:i w:val="1"/>
                <w:iCs w:val="1"/>
                <w:color w:val="auto"/>
                <w:vertAlign w:val="superscript"/>
              </w:rPr>
              <w:t>(a)</w:t>
            </w:r>
          </w:p>
        </w:tc>
        <w:tc>
          <w:tcPr>
            <w:tcW w:w="140" w:type="dxa"/>
            <w:vAlign w:val="bottom"/>
          </w:tcPr>
          <w:p>
            <w:pPr>
              <w:spacing w:after="0"/>
              <w:rPr>
                <w:sz w:val="14"/>
                <w:szCs w:val="14"/>
                <w:color w:val="auto"/>
              </w:rPr>
            </w:pPr>
          </w:p>
        </w:tc>
        <w:tc>
          <w:tcPr>
            <w:tcW w:w="140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Adj. 2024 Total</w:t>
            </w:r>
          </w:p>
        </w:tc>
        <w:tc>
          <w:tcPr>
            <w:tcW w:w="80" w:type="dxa"/>
            <w:vAlign w:val="bottom"/>
          </w:tcPr>
          <w:p>
            <w:pPr>
              <w:spacing w:after="0"/>
              <w:rPr>
                <w:sz w:val="14"/>
                <w:szCs w:val="14"/>
                <w:color w:val="auto"/>
              </w:rPr>
            </w:pPr>
          </w:p>
        </w:tc>
        <w:tc>
          <w:tcPr>
            <w:tcW w:w="1680" w:type="dxa"/>
            <w:vAlign w:val="bottom"/>
          </w:tcPr>
          <w:p>
            <w:pPr>
              <w:jc w:val="right"/>
              <w:ind w:right="359"/>
              <w:spacing w:after="0" w:line="169"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0"/>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Caesars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95"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23"/>
          <w:szCs w:val="23"/>
          <w:b w:val="1"/>
          <w:bCs w:val="1"/>
          <w:i w:val="1"/>
          <w:iCs w:val="1"/>
          <w:color w:val="auto"/>
          <w:vertAlign w:val="superscript"/>
        </w:rPr>
        <w:t>(b)</w:t>
      </w: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right"/>
              <w:ind w:right="919"/>
              <w:spacing w:after="0"/>
              <w:rPr>
                <w:sz w:val="20"/>
                <w:szCs w:val="20"/>
                <w:color w:val="auto"/>
              </w:rPr>
            </w:pPr>
            <w:r>
              <w:rPr>
                <w:rFonts w:ascii="Arial" w:cs="Arial" w:eastAsia="Arial" w:hAnsi="Arial"/>
                <w:sz w:val="16"/>
                <w:szCs w:val="16"/>
                <w:b w:val="1"/>
                <w:bCs w:val="1"/>
                <w:color w:val="auto"/>
              </w:rPr>
              <w:t>Nine Months Ended September 30,</w:t>
            </w:r>
          </w:p>
        </w:tc>
        <w:tc>
          <w:tcPr>
            <w:tcW w:w="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19"/>
              <w:spacing w:after="0" w:line="16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9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2024 Adj.</w:t>
            </w:r>
            <w:r>
              <w:rPr>
                <w:rFonts w:ascii="Arial" w:cs="Arial" w:eastAsia="Arial" w:hAnsi="Arial"/>
                <w:sz w:val="19"/>
                <w:szCs w:val="19"/>
                <w:b w:val="1"/>
                <w:bCs w:val="1"/>
                <w:i w:val="1"/>
                <w:iCs w:val="1"/>
                <w:color w:val="auto"/>
                <w:vertAlign w:val="superscript"/>
              </w:rPr>
              <w:t>(a)</w:t>
            </w:r>
          </w:p>
        </w:tc>
        <w:tc>
          <w:tcPr>
            <w:tcW w:w="140" w:type="dxa"/>
            <w:vAlign w:val="bottom"/>
          </w:tcPr>
          <w:p>
            <w:pPr>
              <w:spacing w:after="0"/>
              <w:rPr>
                <w:sz w:val="14"/>
                <w:szCs w:val="14"/>
                <w:color w:val="auto"/>
              </w:rPr>
            </w:pPr>
          </w:p>
        </w:tc>
        <w:tc>
          <w:tcPr>
            <w:tcW w:w="140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Adj. 2024 Total</w:t>
            </w:r>
          </w:p>
        </w:tc>
        <w:tc>
          <w:tcPr>
            <w:tcW w:w="80" w:type="dxa"/>
            <w:vAlign w:val="bottom"/>
          </w:tcPr>
          <w:p>
            <w:pPr>
              <w:spacing w:after="0"/>
              <w:rPr>
                <w:sz w:val="14"/>
                <w:szCs w:val="14"/>
                <w:color w:val="auto"/>
              </w:rPr>
            </w:pPr>
          </w:p>
        </w:tc>
        <w:tc>
          <w:tcPr>
            <w:tcW w:w="1680" w:type="dxa"/>
            <w:vAlign w:val="bottom"/>
          </w:tcPr>
          <w:p>
            <w:pPr>
              <w:jc w:val="right"/>
              <w:ind w:right="359"/>
              <w:spacing w:after="0" w:line="169" w:lineRule="exact"/>
              <w:rPr>
                <w:sz w:val="20"/>
                <w:szCs w:val="20"/>
                <w:color w:val="auto"/>
              </w:rPr>
            </w:pPr>
            <w:r>
              <w:rPr>
                <w:rFonts w:ascii="Arial" w:cs="Arial" w:eastAsia="Arial" w:hAnsi="Arial"/>
                <w:sz w:val="16"/>
                <w:szCs w:val="16"/>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center"/>
              <w:ind w:left="9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55.7 %</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8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0"/>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Caesars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2,723</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center"/>
              <w:ind w:left="9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7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jc w:val="both"/>
        <w:ind w:left="660" w:hanging="652"/>
        <w:spacing w:after="0" w:line="281" w:lineRule="auto"/>
        <w:tabs>
          <w:tab w:leader="none" w:pos="653" w:val="left"/>
        </w:tabs>
        <w:numPr>
          <w:ilvl w:val="0"/>
          <w:numId w:val="5"/>
        </w:numPr>
        <w:rPr>
          <w:rFonts w:ascii="Arial" w:cs="Arial" w:eastAsia="Arial" w:hAnsi="Arial"/>
          <w:sz w:val="9"/>
          <w:szCs w:val="9"/>
          <w:i w:val="1"/>
          <w:iCs w:val="1"/>
          <w:color w:val="212529"/>
        </w:rPr>
      </w:pPr>
      <w:r>
        <w:rPr>
          <w:rFonts w:ascii="Arial" w:cs="Arial" w:eastAsia="Arial" w:hAnsi="Arial"/>
          <w:sz w:val="14"/>
          <w:szCs w:val="14"/>
          <w:i w:val="1"/>
          <w:iCs w:val="1"/>
          <w:color w:val="auto"/>
        </w:rPr>
        <w:t>Adjustment for pre-disposition results of operations reflecting the subtraction of results of operations for the LINQ Promenade, for the relevant periods.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pacing w:after="0" w:line="15" w:lineRule="exact"/>
        <w:rPr>
          <w:rFonts w:ascii="Arial" w:cs="Arial" w:eastAsia="Arial" w:hAnsi="Arial"/>
          <w:sz w:val="9"/>
          <w:szCs w:val="9"/>
          <w:i w:val="1"/>
          <w:iCs w:val="1"/>
          <w:color w:val="212529"/>
        </w:rPr>
      </w:pPr>
    </w:p>
    <w:p>
      <w:pPr>
        <w:jc w:val="both"/>
        <w:ind w:left="660" w:hanging="652"/>
        <w:spacing w:after="0" w:line="239" w:lineRule="auto"/>
        <w:tabs>
          <w:tab w:leader="none" w:pos="653"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Adjusted EBITDA is not a GAAP measurement and is presented solely as a supplemental disclosure because the Company believes it is a widely used measure of operating performance in the gaming industry. See “Reconciliation of GAAP Measures to Non-GAAP Measures” below for a definition of Adjusted EBITDA and a quantitative reconciliation of Adjusted EBITDA to net income (loss) attributable to Caesars, which the Company believes is the most comparable financial measure calculated in accordance with GAAP.</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and Liquidity</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September 30, 2025, Caesars had $ 11.9 billion in aggregate principal amount of debt outstanding. Total cash and cash equivalents were $836 million, excluding restricted cash of $103 million.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2025</w:t>
            </w:r>
          </w:p>
        </w:tc>
        <w:tc>
          <w:tcPr>
            <w:tcW w:w="240" w:type="dxa"/>
            <w:vAlign w:val="bottom"/>
          </w:tcPr>
          <w:p>
            <w:pPr>
              <w:spacing w:after="0"/>
              <w:rPr>
                <w:sz w:val="16"/>
                <w:szCs w:val="16"/>
                <w:color w:val="auto"/>
              </w:rPr>
            </w:pPr>
          </w:p>
        </w:tc>
        <w:tc>
          <w:tcPr>
            <w:tcW w:w="196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debt and loans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w:t>
            </w:r>
          </w:p>
        </w:tc>
      </w:tr>
      <w:tr>
        <w:trPr>
          <w:trHeight w:val="215"/>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6,346</w:t>
            </w:r>
          </w:p>
        </w:tc>
      </w:tr>
      <w:tr>
        <w:trPr>
          <w:trHeight w:val="217"/>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debt</w:t>
            </w: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Total outstanding indebtedness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12,294</w:t>
            </w: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85"/>
        </w:trPr>
        <w:tc>
          <w:tcPr>
            <w:tcW w:w="20" w:type="dxa"/>
            <w:vAlign w:val="bottom"/>
          </w:tcPr>
          <w:p>
            <w:pPr>
              <w:spacing w:after="0"/>
              <w:rPr>
                <w:sz w:val="24"/>
                <w:szCs w:val="24"/>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i w:val="1"/>
                <w:iCs w:val="1"/>
                <w:color w:val="auto"/>
                <w:vertAlign w:val="superscript"/>
              </w:rPr>
              <w:t>(a)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11,087</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11,428</w:t>
            </w:r>
          </w:p>
        </w:tc>
      </w:tr>
      <w:tr>
        <w:trPr>
          <w:trHeight w:val="246"/>
        </w:trPr>
        <w:tc>
          <w:tcPr>
            <w:tcW w:w="674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spacing w:after="0"/>
              <w:rPr>
                <w:sz w:val="21"/>
                <w:szCs w:val="21"/>
                <w:color w:val="auto"/>
              </w:rPr>
            </w:pPr>
          </w:p>
        </w:tc>
      </w:tr>
    </w:tbl>
    <w:p>
      <w:pPr>
        <w:spacing w:after="0" w:line="43" w:lineRule="exact"/>
        <w:rPr>
          <w:sz w:val="20"/>
          <w:szCs w:val="20"/>
          <w:color w:val="auto"/>
        </w:rPr>
      </w:pPr>
    </w:p>
    <w:p>
      <w:pPr>
        <w:ind w:left="660" w:hanging="652"/>
        <w:spacing w:after="0" w:line="230" w:lineRule="auto"/>
        <w:tabs>
          <w:tab w:leader="none" w:pos="653"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debt is a non-GAAP measurement and is presented solely as a supplemental disclosure because the Company believes it is helpful in understanding our financial position. Net debt is equal to total outstanding indebtedness less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cash on hand and borrowing capacity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September 30,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2,085</w:t>
            </w:r>
          </w:p>
        </w:tc>
      </w:tr>
      <w:tr>
        <w:trPr>
          <w:trHeight w:val="216"/>
        </w:trPr>
        <w:tc>
          <w:tcPr>
            <w:tcW w:w="20" w:type="dxa"/>
            <w:vAlign w:val="bottom"/>
            <w:shd w:val="clear" w:color="auto" w:fill="CCEEFF"/>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20" w:type="dxa"/>
            <w:vAlign w:val="bottom"/>
            <w:tcBorders>
              <w:bottom w:val="single" w:sz="8" w:color="CCEEFF"/>
            </w:tcBorders>
          </w:tcPr>
          <w:p>
            <w:pPr>
              <w:spacing w:after="0"/>
              <w:rPr>
                <w:sz w:val="18"/>
                <w:szCs w:val="18"/>
                <w:color w:val="auto"/>
              </w:rPr>
            </w:pPr>
          </w:p>
        </w:tc>
        <w:tc>
          <w:tcPr>
            <w:tcW w:w="9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revolver capacity committed as regulatory requirement</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75" w:lineRule="exact"/>
        <w:rPr>
          <w:sz w:val="20"/>
          <w:szCs w:val="20"/>
          <w:color w:val="auto"/>
        </w:rPr>
      </w:pPr>
    </w:p>
    <w:p>
      <w:pPr>
        <w:ind w:left="660" w:hanging="652"/>
        <w:spacing w:after="0" w:line="230" w:lineRule="auto"/>
        <w:tabs>
          <w:tab w:leader="none" w:pos="653"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$2.1 billion under our CEI Revolving Credit Facility, maturing in January 2028, and $25 million under the CVA Revolving Credit Facility, maturing on April 26, 2029, less $40 million reserved for specific purposes.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2025, we fully redeemed $546 million of 8.125% notes due 2027. During the quarter, and subsequent period through October, we repurchased 3.9 million shares of our common stock for $100 million, bringing aggregate share repurchases to 13.2 million for $391 million since midway through 2024. We continue to view our shares as undervalued and expect a balanced approach to free cash flow allocation across debt reduction and share buybacks.” said Bret Yunker, Chief Financial Officer.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7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Measures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and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distributions to our noncontrolling interest owners and payments under our leases with affiliates of VICI and GLPI, which can be significant. As a result, Adjusted EBITDA should not be considered as a measure of our liquidity. The reconciliation of Adjusted EBITDA to net income (loss) attributable to Caesars is attached at the end of this press release.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debt (defined above), a non-GAAP measure, has been presented as a supplemental disclosure because we believe it is helpful in understanding our financial condition. The reconciliation of net debt to total outstanding indebtedness is set forth above.</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companies that provide similar non-GAAP measures may calculate them differently than we do, and the definitions may not be the same as the definitions we used in any of our debt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will host a conference call to discuss its results on October 28, 2025 at 2:00 p.m. Pacific Time, 5:00 p.m. Eastern Time. Participants may register for the call approximately 15 minutes before the call start time by visiting the following website at https://register-conf.media-server.com/register/BI99edb5b24f9140bf8daf1eb9d6f8ef3b</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Once registered, participants will receive an email with the dial-in number and unique PIN number to access the live event. The call will also be accessible on the Investor Relations section of Caesars’ website at https://investor.caesars.com.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addition, supplemental slides will be posted prior to the call start time on the Investor Relations website at https://investor.caesars.com.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Caesars Entertainment, Inc.</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Caesars Entertainment, Inc. (NASDAQ: CZR) is the largest casino-entertainment company in the US and one of the world’s most diversified casino-entertainment providers. Since its beginning in Reno, NV, in 1937, Caesars Entertainment, Inc. has grown through development of new resorts, expansions and acquisitions. Caesars Entertainment, Inc.’s resorts operate primarily under the Caesars®, Harrah’s®, Horseshoe®, and Eldorado® brand names. Caesars Entertainment, Inc. offers diversified gaming, entertainment and hospitality amenities, one-of-a-kind destinations, and a full suite of mobile and online gaming and sports betting experiences. All tied to its industry-leading Caesars Rewards loyalty program, the company focuses on building value with its guests through a unique combination of impeccable service, operational excellence and technology leadership. Caesars is committed to its employees, suppliers, communities and the environment through its PEOPLE PLANET PLAY framework. To review our latest CSR report, please visit www.caesars.com/corporate-social-responsibility/csr-reports. Must be 21+ to gamble. </w:t>
      </w:r>
      <w:r>
        <w:rPr>
          <w:rFonts w:ascii="Arial" w:cs="Arial" w:eastAsia="Arial" w:hAnsi="Arial"/>
          <w:sz w:val="18"/>
          <w:szCs w:val="18"/>
          <w:color w:val="212529"/>
        </w:rPr>
        <w:t>Know When To Stop Before You Start.® If you or someone you know has a</w:t>
      </w:r>
      <w:r>
        <w:rPr>
          <w:rFonts w:ascii="Arial" w:cs="Arial" w:eastAsia="Arial" w:hAnsi="Arial"/>
          <w:sz w:val="18"/>
          <w:szCs w:val="18"/>
          <w:color w:val="auto"/>
        </w:rPr>
        <w:t xml:space="preserve"> </w:t>
      </w:r>
      <w:r>
        <w:rPr>
          <w:rFonts w:ascii="Arial" w:cs="Arial" w:eastAsia="Arial" w:hAnsi="Arial"/>
          <w:sz w:val="18"/>
          <w:szCs w:val="18"/>
          <w:color w:val="212529"/>
        </w:rPr>
        <w:t xml:space="preserve">gambling problem, crisis counseling and referral services can be accessed by calling 1-800-GAMBLER (1-800-426-2537) or text 800GAM. </w:t>
      </w:r>
      <w:r>
        <w:rPr>
          <w:rFonts w:ascii="Arial" w:cs="Arial" w:eastAsia="Arial" w:hAnsi="Arial"/>
          <w:sz w:val="18"/>
          <w:szCs w:val="18"/>
          <w:color w:val="000000"/>
        </w:rPr>
        <w:t>For more information, please visit www.caesars.com/corporate.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5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press release, the terms or phrases such as “anticipates,” “believes,” “projects,” “plans,” “intends,” “expects,” “might,” “may,” “estimates,” “could,” “should,” “would,” “will likely continue,” and variations of such words or similar expressions are intended to identify forward-looking statements. Although our expectations, beliefs and projections are expressed in good faith and with what we believe is a reasonable basis, there can be no assurance that these expectations, beliefs and projections will be realized. There are a number of risks and uncertainties that could cause our actual results to differ materially from those expressed in the forward-looking statements which are included elsewhere in this press release. These risks and uncertainties include, but are not limited to: (a) the impact on our business, financial results and liquidity of economic trends, inflation, trade tensions and related actions, such as the imposition of tariffs between the United States and other countries, public health emergencies, terrorist attacks and other acts of war or hostility, work stoppages and other labor problems, or other economic and market conditions, including reductions in discretionary consumer spending as a result of downturns in the economy and other factors outside our control; (b) the impact of future cybersecurity breaches on our business, financial conditions and results of operations; (c) our ability to successfully operate our digital betting and iGaming platforms and expand their user base; (d) risks associated with our leverage and our ability to reduce our leverage; (e) the effects of competition, including new competition in certain of our markets, on our business and results of operations; and (f) additional factors discussed in the sections entitled “Risk Factors” and “Management’s Discussion and Analysis of Financial Condition and Results of Operations” in the Company’s most recent Annual Report on Form 10-K and Quarterly Reports on Form 10-Q as filed with the Securities and Exchange Commission. Other unknown or unpredictable factors may also cause actual results to differ materially from those projected by the forward-looking statements.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light of these and other risks, uncertainties and assumptions, the forward-looking events discussed in this press release might not occur. These forward-looking statements speak only as of the date of this press release, even if subsequently made available on our website or otherwise, and we do not intend to update publicly any forward- looking statement to reflect events or circumstances that occur after the date on which the statement is made, except as may be required by law.</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periodically provide other information for investors on our Investor Relations website, https://investor.caesars.com. We intend to use our website as a means of disclosing material non-public information and for complying with our disclosure obligations under Regulation FD. Accordingly, investors should monitor our website, in addition to following the Company's press releases, SEC filings and public conference calls and webcasts.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Source: Caesars Entertainment, Inc.; CZR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Brian Agnew, bagnew@caesars.com; Charise Crumbley, ccrumbley@caesars.com, 800-318-0047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 Kate Whiteley, kwhiteley@caesars.com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52" w:right="339" w:bottom="1440" w:gutter="0" w:footer="0" w:header="0"/>
        </w:sectPr>
      </w:pPr>
    </w:p>
    <w:bookmarkStart w:id="8" w:name="page9"/>
    <w:bookmarkEnd w:id="8"/>
    <w:p>
      <w:pPr>
        <w:ind w:left="4460"/>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September 30,</w:t>
            </w:r>
          </w:p>
        </w:tc>
      </w:tr>
      <w:tr>
        <w:trPr>
          <w:trHeight w:val="169"/>
        </w:trPr>
        <w:tc>
          <w:tcPr>
            <w:tcW w:w="5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2024</w:t>
            </w:r>
          </w:p>
        </w:tc>
      </w:tr>
      <w:tr>
        <w:trPr>
          <w:trHeight w:val="21"/>
        </w:trPr>
        <w:tc>
          <w:tcPr>
            <w:tcW w:w="238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1,599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4,691</w:t>
            </w:r>
          </w:p>
        </w:tc>
      </w:tr>
      <w:tr>
        <w:trPr>
          <w:trHeight w:val="217"/>
        </w:trPr>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r>
      <w:tr>
        <w:trPr>
          <w:trHeight w:val="215"/>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217"/>
        </w:trPr>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09"/>
        </w:trPr>
        <w:tc>
          <w:tcPr>
            <w:tcW w:w="5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8,446</w:t>
            </w:r>
          </w:p>
        </w:tc>
      </w:tr>
      <w:tr>
        <w:trPr>
          <w:trHeight w:val="197"/>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2,497</w:t>
            </w:r>
          </w:p>
        </w:tc>
      </w:tr>
      <w:tr>
        <w:trPr>
          <w:trHeight w:val="217"/>
        </w:trPr>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5"/>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7"/>
        </w:trPr>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5"/>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1,443</w:t>
            </w:r>
          </w:p>
        </w:tc>
      </w:tr>
      <w:tr>
        <w:trPr>
          <w:trHeight w:val="217"/>
        </w:trPr>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5"/>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15"/>
        </w:trPr>
        <w:tc>
          <w:tcPr>
            <w:tcW w:w="51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and other costs,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51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6,811</w:t>
            </w:r>
          </w:p>
        </w:tc>
      </w:tr>
      <w:tr>
        <w:trPr>
          <w:trHeight w:val="209"/>
        </w:trPr>
        <w:tc>
          <w:tcPr>
            <w:tcW w:w="51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17"/>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217"/>
        </w:trPr>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51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51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r>
      <w:tr>
        <w:trPr>
          <w:trHeight w:val="209"/>
        </w:trPr>
        <w:tc>
          <w:tcPr>
            <w:tcW w:w="518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7"/>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51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6"/>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518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3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loss per share - basic and diluted: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Basic loss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5"/>
        </w:trPr>
        <w:tc>
          <w:tcPr>
            <w:tcW w:w="5180" w:type="dxa"/>
            <w:vAlign w:val="bottom"/>
            <w:gridSpan w:val="2"/>
          </w:tcPr>
          <w:p>
            <w:pPr>
              <w:ind w:left="120"/>
              <w:spacing w:after="0"/>
              <w:rPr>
                <w:sz w:val="20"/>
                <w:szCs w:val="20"/>
                <w:color w:val="auto"/>
              </w:rPr>
            </w:pPr>
            <w:r>
              <w:rPr>
                <w:rFonts w:ascii="Arial" w:cs="Arial" w:eastAsia="Arial" w:hAnsi="Arial"/>
                <w:sz w:val="16"/>
                <w:szCs w:val="16"/>
                <w:color w:val="auto"/>
              </w:rPr>
              <w:t>Diluted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7"/>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basic shares outstanding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5"/>
        </w:trPr>
        <w:tc>
          <w:tcPr>
            <w:tcW w:w="5180" w:type="dxa"/>
            <w:vAlign w:val="bottom"/>
            <w:gridSpan w:val="2"/>
          </w:tcPr>
          <w:p>
            <w:pPr>
              <w:ind w:left="120"/>
              <w:spacing w:after="0"/>
              <w:rPr>
                <w:sz w:val="20"/>
                <w:szCs w:val="20"/>
                <w:color w:val="auto"/>
              </w:rPr>
            </w:pPr>
            <w:r>
              <w:rPr>
                <w:rFonts w:ascii="Arial" w:cs="Arial" w:eastAsia="Arial" w:hAnsi="Arial"/>
                <w:sz w:val="16"/>
                <w:szCs w:val="16"/>
                <w:color w:val="auto"/>
              </w:rPr>
              <w:t>Weighted average diluted shares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60" w:top="89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CAESARS TO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September 30,</w:t>
            </w:r>
          </w:p>
        </w:tc>
      </w:tr>
      <w:tr>
        <w:trPr>
          <w:trHeight w:val="169"/>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39"/>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5"/>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income </w:t>
            </w:r>
            <w:r>
              <w:rPr>
                <w:rFonts w:ascii="Arial" w:cs="Arial" w:eastAsia="Arial" w:hAnsi="Arial"/>
                <w:sz w:val="21"/>
                <w:szCs w:val="21"/>
                <w:i w:val="1"/>
                <w:iCs w:val="1"/>
                <w:color w:val="auto"/>
                <w:vertAlign w:val="superscript"/>
              </w:rPr>
              <w:t>(a)</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217"/>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1"/>
                <w:szCs w:val="21"/>
                <w:i w:val="1"/>
                <w:iCs w:val="1"/>
                <w:color w:val="auto"/>
                <w:vertAlign w:val="superscript"/>
              </w:rPr>
              <w:t>(b)</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42"/>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979</w:t>
            </w:r>
          </w:p>
        </w:tc>
      </w:tr>
      <w:tr>
        <w:trPr>
          <w:trHeight w:val="217"/>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 xml:space="preserve">Transaction costs and other, net </w:t>
            </w:r>
            <w:r>
              <w:rPr>
                <w:rFonts w:ascii="Arial" w:cs="Arial" w:eastAsia="Arial" w:hAnsi="Arial"/>
                <w:sz w:val="21"/>
                <w:szCs w:val="21"/>
                <w:i w:val="1"/>
                <w:iCs w:val="1"/>
                <w:color w:val="auto"/>
                <w:vertAlign w:val="superscript"/>
              </w:rPr>
              <w:t>(c)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10"/>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2,854</w:t>
            </w:r>
          </w:p>
        </w:tc>
      </w:tr>
      <w:tr>
        <w:trPr>
          <w:trHeight w:val="209"/>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2"/>
          </w:tcPr>
          <w:p>
            <w:pPr>
              <w:spacing w:after="0" w:line="210" w:lineRule="exact"/>
              <w:rPr>
                <w:sz w:val="20"/>
                <w:szCs w:val="20"/>
                <w:color w:val="auto"/>
              </w:rPr>
            </w:pPr>
            <w:r>
              <w:rPr>
                <w:rFonts w:ascii="Arial" w:cs="Arial" w:eastAsia="Arial" w:hAnsi="Arial"/>
                <w:sz w:val="16"/>
                <w:szCs w:val="16"/>
                <w:color w:val="auto"/>
              </w:rPr>
              <w:t xml:space="preserve">Pre-disposition Adjusted EBITDA </w:t>
            </w:r>
            <w:r>
              <w:rPr>
                <w:rFonts w:ascii="Arial" w:cs="Arial" w:eastAsia="Arial" w:hAnsi="Arial"/>
                <w:sz w:val="21"/>
                <w:szCs w:val="21"/>
                <w:i w:val="1"/>
                <w:iCs w:val="1"/>
                <w:color w:val="auto"/>
                <w:vertAlign w:val="superscript"/>
              </w:rPr>
              <w:t>(d)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income for the nine months ended September 30, 2024 primarily represents a change in the estimate of our disputed claims liability.</w:t>
      </w:r>
    </w:p>
    <w:p>
      <w:pPr>
        <w:spacing w:after="0" w:line="39" w:lineRule="exact"/>
        <w:rPr>
          <w:rFonts w:ascii="Arial" w:cs="Arial" w:eastAsia="Arial" w:hAnsi="Arial"/>
          <w:sz w:val="19"/>
          <w:szCs w:val="19"/>
          <w:i w:val="1"/>
          <w:iCs w:val="1"/>
          <w:color w:val="212529"/>
          <w:vertAlign w:val="superscript"/>
        </w:rPr>
      </w:pPr>
    </w:p>
    <w:p>
      <w:pPr>
        <w:ind w:left="660" w:right="20" w:hanging="652"/>
        <w:spacing w:after="0" w:line="284" w:lineRule="auto"/>
        <w:tabs>
          <w:tab w:leader="none" w:pos="653" w:val="left"/>
        </w:tabs>
        <w:numPr>
          <w:ilvl w:val="0"/>
          <w:numId w:val="8"/>
        </w:numPr>
        <w:rPr>
          <w:rFonts w:ascii="Arial" w:cs="Arial" w:eastAsia="Arial" w:hAnsi="Arial"/>
          <w:sz w:val="9"/>
          <w:szCs w:val="9"/>
          <w:i w:val="1"/>
          <w:iCs w:val="1"/>
          <w:color w:val="auto"/>
        </w:rPr>
      </w:pPr>
      <w:r>
        <w:rPr>
          <w:rFonts w:ascii="Arial" w:cs="Arial" w:eastAsia="Arial" w:hAnsi="Arial"/>
          <w:sz w:val="14"/>
          <w:szCs w:val="14"/>
          <w:i w:val="1"/>
          <w:iCs w:val="1"/>
          <w:color w:val="auto"/>
        </w:rPr>
        <w:t>Impairment charges for the nine months ended September 30, 2024 includes impairment within our Regional segment as a result of a decrease in projected cash flows at certain properties primarily due to localized competition.</w:t>
      </w:r>
    </w:p>
    <w:p>
      <w:pPr>
        <w:spacing w:after="0" w:line="11" w:lineRule="exact"/>
        <w:rPr>
          <w:rFonts w:ascii="Arial" w:cs="Arial" w:eastAsia="Arial" w:hAnsi="Arial"/>
          <w:sz w:val="9"/>
          <w:szCs w:val="9"/>
          <w:i w:val="1"/>
          <w:iCs w:val="1"/>
          <w:color w:val="auto"/>
        </w:rPr>
      </w:pPr>
    </w:p>
    <w:p>
      <w:pPr>
        <w:jc w:val="both"/>
        <w:ind w:left="660" w:hanging="652"/>
        <w:spacing w:after="0" w:line="239" w:lineRule="auto"/>
        <w:tabs>
          <w:tab w:leader="none" w:pos="647" w:val="left"/>
        </w:tabs>
        <w:numPr>
          <w:ilvl w:val="0"/>
          <w:numId w:val="8"/>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Transaction costs and other, net primarily includes costs related to non-cash losses on the write down and disposal of assets, certain non-recurring litigation reserves, non-recurring asset recoveries, professional services for transaction and integration costs, various contract exit or termination costs, pre-opening costs in connection with our new property openings, and non-cash changes in equity method investments.</w:t>
      </w:r>
    </w:p>
    <w:p>
      <w:pPr>
        <w:spacing w:after="0" w:line="28" w:lineRule="exact"/>
        <w:rPr>
          <w:rFonts w:ascii="Arial" w:cs="Arial" w:eastAsia="Arial" w:hAnsi="Arial"/>
          <w:sz w:val="19"/>
          <w:szCs w:val="19"/>
          <w:i w:val="1"/>
          <w:iCs w:val="1"/>
          <w:color w:val="212529"/>
          <w:vertAlign w:val="superscript"/>
        </w:rPr>
      </w:pPr>
    </w:p>
    <w:p>
      <w:pPr>
        <w:jc w:val="both"/>
        <w:ind w:left="660" w:hanging="652"/>
        <w:spacing w:after="0" w:line="281" w:lineRule="auto"/>
        <w:tabs>
          <w:tab w:leader="none" w:pos="653" w:val="left"/>
        </w:tabs>
        <w:numPr>
          <w:ilvl w:val="0"/>
          <w:numId w:val="8"/>
        </w:numPr>
        <w:rPr>
          <w:rFonts w:ascii="Arial" w:cs="Arial" w:eastAsia="Arial" w:hAnsi="Arial"/>
          <w:sz w:val="9"/>
          <w:szCs w:val="9"/>
          <w:i w:val="1"/>
          <w:iCs w:val="1"/>
          <w:color w:val="212529"/>
        </w:rPr>
      </w:pPr>
      <w:r>
        <w:rPr>
          <w:rFonts w:ascii="Arial" w:cs="Arial" w:eastAsia="Arial" w:hAnsi="Arial"/>
          <w:sz w:val="14"/>
          <w:szCs w:val="14"/>
          <w:i w:val="1"/>
          <w:iCs w:val="1"/>
          <w:color w:val="auto"/>
        </w:rPr>
        <w:t>Adjustment for pre-disposition results of operations reflecting the subtraction of results of operations for the LINQ Promenade prior to divestiture, for the relevant periods.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2025-11-19T12:30:09Z</dcterms:created>
  <dcterms:modified xsi:type="dcterms:W3CDTF">2025-11-19T12:30:09Z</dcterms:modified>
</cp:coreProperties>
</file>