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0001608717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69"/>
        <w:gridCol w:w="4036"/>
      </w:tblGrid>
      <w:tr>
        <w:trPr/>
        <w:tc>
          <w:tcPr>
            <w:tcW w:w="6169" w:type="dxa"/>
            <w:tcBorders/>
            <w:vAlign w:val="center"/>
          </w:tcPr>
          <w:p>
            <w:pPr>
              <w:pStyle w:val="TableContents"/>
              <w:bidi w:val="0"/>
              <w:spacing w:before="0" w:after="283"/>
              <w:jc w:val="left"/>
              <w:rPr/>
            </w:pPr>
            <w:r>
              <w:rPr/>
              <w:t>Name of Issuer</w:t>
            </w:r>
          </w:p>
        </w:tc>
        <w:tc>
          <w:tcPr>
            <w:tcW w:w="4036" w:type="dxa"/>
            <w:tcBorders/>
            <w:vAlign w:val="center"/>
          </w:tcPr>
          <w:p>
            <w:pPr>
              <w:pStyle w:val="TableContents"/>
              <w:bidi w:val="0"/>
              <w:spacing w:before="0" w:after="0"/>
              <w:jc w:val="left"/>
              <w:rPr/>
            </w:pPr>
            <w:r>
              <w:rPr/>
              <w:t>Caesars Entertainment, Inc.</w:t>
            </w:r>
          </w:p>
        </w:tc>
      </w:tr>
      <w:tr>
        <w:trPr/>
        <w:tc>
          <w:tcPr>
            <w:tcW w:w="6169" w:type="dxa"/>
            <w:tcBorders/>
            <w:vAlign w:val="center"/>
          </w:tcPr>
          <w:p>
            <w:pPr>
              <w:pStyle w:val="TableContents"/>
              <w:bidi w:val="0"/>
              <w:spacing w:before="0" w:after="283"/>
              <w:jc w:val="left"/>
              <w:rPr/>
            </w:pPr>
            <w:r>
              <w:rPr/>
              <w:t>SEC File Number</w:t>
            </w:r>
          </w:p>
        </w:tc>
        <w:tc>
          <w:tcPr>
            <w:tcW w:w="4036" w:type="dxa"/>
            <w:tcBorders/>
            <w:vAlign w:val="center"/>
          </w:tcPr>
          <w:p>
            <w:pPr>
              <w:pStyle w:val="TableContents"/>
              <w:bidi w:val="0"/>
              <w:spacing w:before="0" w:after="0"/>
              <w:jc w:val="left"/>
              <w:rPr/>
            </w:pPr>
            <w:r>
              <w:rPr/>
              <w:t>001-36629</w:t>
            </w:r>
          </w:p>
        </w:tc>
      </w:tr>
      <w:tr>
        <w:trPr/>
        <w:tc>
          <w:tcPr>
            <w:tcW w:w="6169" w:type="dxa"/>
            <w:tcBorders/>
            <w:vAlign w:val="center"/>
          </w:tcPr>
          <w:p>
            <w:pPr>
              <w:pStyle w:val="TableContents"/>
              <w:bidi w:val="0"/>
              <w:spacing w:before="0" w:after="283"/>
              <w:jc w:val="left"/>
              <w:rPr/>
            </w:pPr>
            <w:r>
              <w:rPr/>
              <w:t>Address of Issuer</w:t>
            </w:r>
          </w:p>
        </w:tc>
        <w:tc>
          <w:tcPr>
            <w:tcW w:w="4036" w:type="dxa"/>
            <w:tcBorders/>
            <w:vAlign w:val="center"/>
          </w:tcPr>
          <w:p>
            <w:pPr>
              <w:pStyle w:val="TableContents"/>
              <w:bidi w:val="0"/>
              <w:spacing w:before="0" w:after="0"/>
              <w:jc w:val="left"/>
              <w:rPr/>
            </w:pPr>
            <w:r>
              <w:rPr/>
              <w:t>100 West Liberty Street, 12th Floor</w:t>
              <w:br/>
              <w:t>Reno</w:t>
              <w:br/>
              <w:t xml:space="preserve">NEVADA </w:t>
              <w:br/>
              <w:t>89501</w:t>
            </w:r>
          </w:p>
        </w:tc>
      </w:tr>
      <w:tr>
        <w:trPr/>
        <w:tc>
          <w:tcPr>
            <w:tcW w:w="6169" w:type="dxa"/>
            <w:tcBorders/>
            <w:vAlign w:val="center"/>
          </w:tcPr>
          <w:p>
            <w:pPr>
              <w:pStyle w:val="TableContents"/>
              <w:bidi w:val="0"/>
              <w:spacing w:before="0" w:after="283"/>
              <w:jc w:val="left"/>
              <w:rPr/>
            </w:pPr>
            <w:r>
              <w:rPr/>
              <w:t>Phone</w:t>
            </w:r>
          </w:p>
        </w:tc>
        <w:tc>
          <w:tcPr>
            <w:tcW w:w="4036" w:type="dxa"/>
            <w:tcBorders/>
            <w:vAlign w:val="center"/>
          </w:tcPr>
          <w:p>
            <w:pPr>
              <w:pStyle w:val="TableContents"/>
              <w:bidi w:val="0"/>
              <w:spacing w:before="0" w:after="0"/>
              <w:jc w:val="left"/>
              <w:rPr/>
            </w:pPr>
            <w:r>
              <w:rPr/>
              <w:t>775-328-0100</w:t>
            </w:r>
          </w:p>
        </w:tc>
      </w:tr>
      <w:tr>
        <w:trPr/>
        <w:tc>
          <w:tcPr>
            <w:tcW w:w="6169" w:type="dxa"/>
            <w:tcBorders/>
            <w:vAlign w:val="center"/>
          </w:tcPr>
          <w:p>
            <w:pPr>
              <w:pStyle w:val="TableContents"/>
              <w:bidi w:val="0"/>
              <w:spacing w:before="0" w:after="283"/>
              <w:jc w:val="left"/>
              <w:rPr/>
            </w:pPr>
            <w:r>
              <w:rPr/>
              <w:t>Name of Person for Whose Account the Securities are To Be Sold</w:t>
            </w:r>
          </w:p>
        </w:tc>
        <w:tc>
          <w:tcPr>
            <w:tcW w:w="4036" w:type="dxa"/>
            <w:tcBorders/>
            <w:vAlign w:val="center"/>
          </w:tcPr>
          <w:p>
            <w:pPr>
              <w:pStyle w:val="TableContents"/>
              <w:bidi w:val="0"/>
              <w:spacing w:before="0" w:after="0"/>
              <w:jc w:val="left"/>
              <w:rPr/>
            </w:pPr>
            <w:r>
              <w:rPr/>
              <w:t>Courtney R. Mather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69" w:type="dxa"/>
            <w:tcBorders/>
            <w:vAlign w:val="center"/>
          </w:tcPr>
          <w:p>
            <w:pPr>
              <w:pStyle w:val="TableContents"/>
              <w:bidi w:val="0"/>
              <w:spacing w:before="0" w:after="283"/>
              <w:jc w:val="left"/>
              <w:rPr/>
            </w:pPr>
            <w:r>
              <w:rPr/>
              <w:t>Relationship to Issuer</w:t>
            </w:r>
          </w:p>
        </w:tc>
        <w:tc>
          <w:tcPr>
            <w:tcW w:w="4036" w:type="dxa"/>
            <w:tcBorders/>
            <w:vAlign w:val="center"/>
          </w:tcPr>
          <w:p>
            <w:pPr>
              <w:pStyle w:val="TableContents"/>
              <w:bidi w:val="0"/>
              <w:spacing w:before="0" w:after="0"/>
              <w:jc w:val="left"/>
              <w:rPr/>
            </w:pPr>
            <w:r>
              <w:rPr/>
              <w:t>Former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9"/>
        <w:gridCol w:w="1584"/>
        <w:gridCol w:w="1156"/>
        <w:gridCol w:w="1449"/>
        <w:gridCol w:w="1541"/>
        <w:gridCol w:w="1560"/>
        <w:gridCol w:w="1366"/>
      </w:tblGrid>
      <w:tr>
        <w:trPr/>
        <w:tc>
          <w:tcPr>
            <w:tcW w:w="1549" w:type="dxa"/>
            <w:tcBorders/>
            <w:vAlign w:val="center"/>
          </w:tcPr>
          <w:p>
            <w:pPr>
              <w:pStyle w:val="TableHeading"/>
              <w:suppressLineNumbers/>
              <w:bidi w:val="0"/>
              <w:spacing w:before="0" w:after="283"/>
              <w:jc w:val="center"/>
              <w:rPr/>
            </w:pPr>
            <w:r>
              <w:rPr/>
              <w:t>Title of the Class of Securities To Be Sold</w:t>
            </w:r>
          </w:p>
        </w:tc>
        <w:tc>
          <w:tcPr>
            <w:tcW w:w="1584" w:type="dxa"/>
            <w:tcBorders/>
            <w:vAlign w:val="center"/>
          </w:tcPr>
          <w:p>
            <w:pPr>
              <w:pStyle w:val="TableHeading"/>
              <w:suppressLineNumbers/>
              <w:bidi w:val="0"/>
              <w:spacing w:before="0" w:after="283"/>
              <w:jc w:val="center"/>
              <w:rPr/>
            </w:pPr>
            <w:r>
              <w:rPr/>
              <w:t>Name and Address of the Broker</w:t>
            </w:r>
          </w:p>
        </w:tc>
        <w:tc>
          <w:tcPr>
            <w:tcW w:w="1156" w:type="dxa"/>
            <w:tcBorders/>
            <w:vAlign w:val="center"/>
          </w:tcPr>
          <w:p>
            <w:pPr>
              <w:pStyle w:val="TableHeading"/>
              <w:suppressLineNumbers/>
              <w:bidi w:val="0"/>
              <w:spacing w:before="0" w:after="283"/>
              <w:jc w:val="center"/>
              <w:rPr/>
            </w:pPr>
            <w:r>
              <w:rPr/>
              <w:t>Number of Shares or Other Units To Be Sold</w:t>
            </w:r>
          </w:p>
        </w:tc>
        <w:tc>
          <w:tcPr>
            <w:tcW w:w="1449" w:type="dxa"/>
            <w:tcBorders/>
            <w:vAlign w:val="center"/>
          </w:tcPr>
          <w:p>
            <w:pPr>
              <w:pStyle w:val="TableHeading"/>
              <w:suppressLineNumbers/>
              <w:bidi w:val="0"/>
              <w:spacing w:before="0" w:after="283"/>
              <w:jc w:val="center"/>
              <w:rPr/>
            </w:pPr>
            <w:r>
              <w:rPr/>
              <w:t>Aggregate Market Value</w:t>
            </w:r>
          </w:p>
        </w:tc>
        <w:tc>
          <w:tcPr>
            <w:tcW w:w="1541" w:type="dxa"/>
            <w:tcBorders/>
            <w:vAlign w:val="center"/>
          </w:tcPr>
          <w:p>
            <w:pPr>
              <w:pStyle w:val="TableHeading"/>
              <w:suppressLineNumbers/>
              <w:bidi w:val="0"/>
              <w:spacing w:before="0" w:after="283"/>
              <w:jc w:val="center"/>
              <w:rPr/>
            </w:pPr>
            <w:r>
              <w:rPr/>
              <w:t>Number of Shares or Other Units Outstanding</w:t>
            </w:r>
          </w:p>
        </w:tc>
        <w:tc>
          <w:tcPr>
            <w:tcW w:w="1560" w:type="dxa"/>
            <w:tcBorders/>
            <w:vAlign w:val="center"/>
          </w:tcPr>
          <w:p>
            <w:pPr>
              <w:pStyle w:val="TableHeading"/>
              <w:suppressLineNumbers/>
              <w:bidi w:val="0"/>
              <w:spacing w:before="0" w:after="283"/>
              <w:jc w:val="center"/>
              <w:rPr/>
            </w:pPr>
            <w:r>
              <w:rPr/>
              <w:t>Approximate Date of Sale</w:t>
            </w:r>
          </w:p>
        </w:tc>
        <w:tc>
          <w:tcPr>
            <w:tcW w:w="1366" w:type="dxa"/>
            <w:tcBorders/>
            <w:vAlign w:val="center"/>
          </w:tcPr>
          <w:p>
            <w:pPr>
              <w:pStyle w:val="TableHeading"/>
              <w:suppressLineNumbers/>
              <w:bidi w:val="0"/>
              <w:spacing w:before="0" w:after="283"/>
              <w:jc w:val="center"/>
              <w:rPr/>
            </w:pPr>
            <w:r>
              <w:rPr/>
              <w:t>Name the Securities Exchange</w:t>
            </w:r>
          </w:p>
        </w:tc>
      </w:tr>
      <w:tr>
        <w:trPr/>
        <w:tc>
          <w:tcPr>
            <w:tcW w:w="1549" w:type="dxa"/>
            <w:tcBorders/>
            <w:vAlign w:val="center"/>
          </w:tcPr>
          <w:p>
            <w:pPr>
              <w:pStyle w:val="TableContents"/>
              <w:bidi w:val="0"/>
              <w:spacing w:before="0" w:after="283"/>
              <w:jc w:val="left"/>
              <w:rPr/>
            </w:pPr>
            <w:r>
              <w:rPr/>
              <w:t>Common Stock</w:t>
            </w:r>
          </w:p>
        </w:tc>
        <w:tc>
          <w:tcPr>
            <w:tcW w:w="1584" w:type="dxa"/>
            <w:tcBorders/>
            <w:vAlign w:val="center"/>
          </w:tcPr>
          <w:p>
            <w:pPr>
              <w:pStyle w:val="TableContents"/>
              <w:bidi w:val="0"/>
              <w:spacing w:before="0" w:after="0"/>
              <w:jc w:val="left"/>
              <w:rPr/>
            </w:pPr>
            <w:r>
              <w:rPr/>
              <w:t>Interactive Brokers LLC</w:t>
              <w:br/>
              <w:t>One Pickwick Plaza</w:t>
              <w:br/>
              <w:t>Greenwich   CT   06830</w:t>
            </w:r>
          </w:p>
        </w:tc>
        <w:tc>
          <w:tcPr>
            <w:tcW w:w="1156" w:type="dxa"/>
            <w:tcBorders/>
            <w:vAlign w:val="center"/>
          </w:tcPr>
          <w:p>
            <w:pPr>
              <w:pStyle w:val="TableContents"/>
              <w:bidi w:val="0"/>
              <w:spacing w:before="0" w:after="283"/>
              <w:jc w:val="left"/>
              <w:rPr/>
            </w:pPr>
            <w:r>
              <w:rPr/>
              <w:t>57027</w:t>
            </w:r>
          </w:p>
        </w:tc>
        <w:tc>
          <w:tcPr>
            <w:tcW w:w="1449" w:type="dxa"/>
            <w:tcBorders/>
            <w:vAlign w:val="center"/>
          </w:tcPr>
          <w:p>
            <w:pPr>
              <w:pStyle w:val="TableContents"/>
              <w:bidi w:val="0"/>
              <w:spacing w:before="0" w:after="283"/>
              <w:jc w:val="left"/>
              <w:rPr/>
            </w:pPr>
            <w:r>
              <w:rPr/>
              <w:t>1695412.71</w:t>
            </w:r>
          </w:p>
        </w:tc>
        <w:tc>
          <w:tcPr>
            <w:tcW w:w="1541" w:type="dxa"/>
            <w:tcBorders/>
            <w:vAlign w:val="center"/>
          </w:tcPr>
          <w:p>
            <w:pPr>
              <w:pStyle w:val="TableContents"/>
              <w:bidi w:val="0"/>
              <w:spacing w:before="0" w:after="283"/>
              <w:jc w:val="left"/>
              <w:rPr/>
            </w:pPr>
            <w:r>
              <w:rPr/>
              <w:t>203720372</w:t>
            </w:r>
          </w:p>
        </w:tc>
        <w:tc>
          <w:tcPr>
            <w:tcW w:w="1560" w:type="dxa"/>
            <w:tcBorders/>
            <w:vAlign w:val="center"/>
          </w:tcPr>
          <w:p>
            <w:pPr>
              <w:pStyle w:val="TableContents"/>
              <w:bidi w:val="0"/>
              <w:spacing w:before="0" w:after="283"/>
              <w:jc w:val="left"/>
              <w:rPr/>
            </w:pPr>
            <w:r>
              <w:rPr/>
              <w:t>08/31/2026</w:t>
            </w:r>
          </w:p>
        </w:tc>
        <w:tc>
          <w:tcPr>
            <w:tcW w:w="136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01/23/2026</w:t>
            </w:r>
          </w:p>
        </w:tc>
        <w:tc>
          <w:tcPr>
            <w:tcW w:w="1430" w:type="dxa"/>
            <w:tcBorders/>
            <w:vAlign w:val="center"/>
          </w:tcPr>
          <w:p>
            <w:pPr>
              <w:pStyle w:val="TableContents"/>
              <w:bidi w:val="0"/>
              <w:spacing w:before="0" w:after="283"/>
              <w:jc w:val="left"/>
              <w:rPr/>
            </w:pPr>
            <w:r>
              <w:rPr/>
              <w:t>Stock Grant</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10369</w:t>
            </w:r>
          </w:p>
        </w:tc>
        <w:tc>
          <w:tcPr>
            <w:tcW w:w="1046" w:type="dxa"/>
            <w:tcBorders/>
            <w:vAlign w:val="center"/>
          </w:tcPr>
          <w:p>
            <w:pPr>
              <w:pStyle w:val="TableContents"/>
              <w:bidi w:val="0"/>
              <w:spacing w:before="0" w:after="283"/>
              <w:jc w:val="left"/>
              <w:rPr/>
            </w:pPr>
            <w:r>
              <w:rPr/>
              <w:t>01/23/2026</w:t>
            </w:r>
          </w:p>
        </w:tc>
        <w:tc>
          <w:tcPr>
            <w:tcW w:w="1610" w:type="dxa"/>
            <w:tcBorders/>
            <w:vAlign w:val="center"/>
          </w:tcPr>
          <w:p>
            <w:pPr>
              <w:pStyle w:val="TableContents"/>
              <w:bidi w:val="0"/>
              <w:spacing w:before="0" w:after="283"/>
              <w:jc w:val="left"/>
              <w:rPr/>
            </w:pPr>
            <w:r>
              <w:rPr/>
              <w:t>Stock Grant</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10/02/2024</w:t>
            </w:r>
          </w:p>
        </w:tc>
        <w:tc>
          <w:tcPr>
            <w:tcW w:w="1430" w:type="dxa"/>
            <w:tcBorders/>
            <w:vAlign w:val="center"/>
          </w:tcPr>
          <w:p>
            <w:pPr>
              <w:pStyle w:val="TableContents"/>
              <w:bidi w:val="0"/>
              <w:spacing w:before="0" w:after="283"/>
              <w:jc w:val="left"/>
              <w:rPr/>
            </w:pPr>
            <w:r>
              <w:rPr/>
              <w:t>Phantom stock units under a registered plan</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23128</w:t>
            </w:r>
          </w:p>
        </w:tc>
        <w:tc>
          <w:tcPr>
            <w:tcW w:w="1046" w:type="dxa"/>
            <w:tcBorders/>
            <w:vAlign w:val="center"/>
          </w:tcPr>
          <w:p>
            <w:pPr>
              <w:pStyle w:val="TableContents"/>
              <w:bidi w:val="0"/>
              <w:spacing w:before="0" w:after="283"/>
              <w:jc w:val="left"/>
              <w:rPr/>
            </w:pPr>
            <w:r>
              <w:rPr/>
              <w:t>10/02/2024</w:t>
            </w:r>
          </w:p>
        </w:tc>
        <w:tc>
          <w:tcPr>
            <w:tcW w:w="1610" w:type="dxa"/>
            <w:tcBorders/>
            <w:vAlign w:val="center"/>
          </w:tcPr>
          <w:p>
            <w:pPr>
              <w:pStyle w:val="TableContents"/>
              <w:bidi w:val="0"/>
              <w:spacing w:before="0" w:after="283"/>
              <w:jc w:val="left"/>
              <w:rPr/>
            </w:pPr>
            <w:r>
              <w:rPr/>
              <w:t>Director Compensation</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01/24/2025</w:t>
            </w:r>
          </w:p>
        </w:tc>
        <w:tc>
          <w:tcPr>
            <w:tcW w:w="1430" w:type="dxa"/>
            <w:tcBorders/>
            <w:vAlign w:val="center"/>
          </w:tcPr>
          <w:p>
            <w:pPr>
              <w:pStyle w:val="TableContents"/>
              <w:bidi w:val="0"/>
              <w:spacing w:before="0" w:after="283"/>
              <w:jc w:val="left"/>
              <w:rPr/>
            </w:pPr>
            <w:r>
              <w:rPr/>
              <w:t>Restricted stock units under a registered plan</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23530</w:t>
            </w:r>
          </w:p>
        </w:tc>
        <w:tc>
          <w:tcPr>
            <w:tcW w:w="1046" w:type="dxa"/>
            <w:tcBorders/>
            <w:vAlign w:val="center"/>
          </w:tcPr>
          <w:p>
            <w:pPr>
              <w:pStyle w:val="TableContents"/>
              <w:bidi w:val="0"/>
              <w:spacing w:before="0" w:after="283"/>
              <w:jc w:val="left"/>
              <w:rPr/>
            </w:pPr>
            <w:r>
              <w:rPr/>
              <w:t>01/24/2025</w:t>
            </w:r>
          </w:p>
        </w:tc>
        <w:tc>
          <w:tcPr>
            <w:tcW w:w="1610" w:type="dxa"/>
            <w:tcBorders/>
            <w:vAlign w:val="center"/>
          </w:tcPr>
          <w:p>
            <w:pPr>
              <w:pStyle w:val="TableContents"/>
              <w:bidi w:val="0"/>
              <w:spacing w:before="0" w:after="283"/>
              <w:jc w:val="left"/>
              <w:rPr/>
            </w:pPr>
            <w:r>
              <w:rPr/>
              <w:t>Stock Grant</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348"/>
        <w:gridCol w:w="8857"/>
      </w:tblGrid>
      <w:tr>
        <w:trPr/>
        <w:tc>
          <w:tcPr>
            <w:tcW w:w="1348" w:type="dxa"/>
            <w:tcBorders/>
            <w:vAlign w:val="center"/>
          </w:tcPr>
          <w:p>
            <w:pPr>
              <w:pStyle w:val="TableContents"/>
              <w:bidi w:val="0"/>
              <w:spacing w:before="0" w:after="283"/>
              <w:jc w:val="left"/>
              <w:rPr/>
            </w:pPr>
            <w:r>
              <w:rPr/>
              <w:t>Remarks</w:t>
            </w:r>
          </w:p>
        </w:tc>
        <w:tc>
          <w:tcPr>
            <w:tcW w:w="8857" w:type="dxa"/>
            <w:tcBorders/>
            <w:vAlign w:val="center"/>
          </w:tcPr>
          <w:p>
            <w:pPr>
              <w:pStyle w:val="TableContents"/>
              <w:bidi w:val="0"/>
              <w:spacing w:before="0" w:after="0"/>
              <w:jc w:val="left"/>
              <w:rPr/>
            </w:pPr>
            <w:r>
              <w:rPr/>
              <w:t>The 23,128 shares of common stock were received as phantom stock units between 1/04/2021 and 10/2/2024 in respect of payment of outside director's fees. The 23,530 shares of common stock were received as restricted stock units between 1/29/2021 and 1/24/2025.</w:t>
            </w:r>
          </w:p>
        </w:tc>
      </w:tr>
      <w:tr>
        <w:trPr/>
        <w:tc>
          <w:tcPr>
            <w:tcW w:w="1348" w:type="dxa"/>
            <w:tcBorders/>
            <w:vAlign w:val="center"/>
          </w:tcPr>
          <w:p>
            <w:pPr>
              <w:pStyle w:val="TableContents"/>
              <w:bidi w:val="0"/>
              <w:spacing w:before="0" w:after="283"/>
              <w:jc w:val="left"/>
              <w:rPr/>
            </w:pPr>
            <w:r>
              <w:rPr/>
              <w:t>Date of Notice</w:t>
            </w:r>
          </w:p>
        </w:tc>
        <w:tc>
          <w:tcPr>
            <w:tcW w:w="8857" w:type="dxa"/>
            <w:tcBorders/>
            <w:vAlign w:val="center"/>
          </w:tcPr>
          <w:p>
            <w:pPr>
              <w:pStyle w:val="TableContents"/>
              <w:bidi w:val="0"/>
              <w:spacing w:before="0" w:after="0"/>
              <w:jc w:val="left"/>
              <w:rPr/>
            </w:pPr>
            <w:r>
              <w:rPr/>
              <w:t>08/31/2026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48" w:type="dxa"/>
            <w:tcBorders/>
            <w:vAlign w:val="center"/>
          </w:tcPr>
          <w:p>
            <w:pPr>
              <w:pStyle w:val="TableContents"/>
              <w:bidi w:val="0"/>
              <w:spacing w:before="0" w:after="283"/>
              <w:jc w:val="left"/>
              <w:rPr/>
            </w:pPr>
            <w:r>
              <w:rPr/>
              <w:t>Signature</w:t>
            </w:r>
          </w:p>
        </w:tc>
        <w:tc>
          <w:tcPr>
            <w:tcW w:w="8857" w:type="dxa"/>
            <w:tcBorders/>
            <w:vAlign w:val="center"/>
          </w:tcPr>
          <w:p>
            <w:pPr>
              <w:pStyle w:val="TableContents"/>
              <w:bidi w:val="0"/>
              <w:spacing w:before="0" w:after="0"/>
              <w:jc w:val="left"/>
              <w:rPr/>
            </w:pPr>
            <w:r>
              <w:rPr/>
              <w:t>/s/ Courtney R. Mather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645</Words>
  <Characters>3314</Characters>
  <CharactersWithSpaces>3890</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