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0001766886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98"/>
        <w:gridCol w:w="3607"/>
      </w:tblGrid>
      <w:tr>
        <w:trPr/>
        <w:tc>
          <w:tcPr>
            <w:tcW w:w="6598" w:type="dxa"/>
            <w:tcBorders/>
            <w:vAlign w:val="center"/>
          </w:tcPr>
          <w:p>
            <w:pPr>
              <w:pStyle w:val="TableContents"/>
              <w:bidi w:val="0"/>
              <w:spacing w:before="0" w:after="283"/>
              <w:jc w:val="left"/>
              <w:rPr/>
            </w:pPr>
            <w:r>
              <w:rPr/>
              <w:t>Name of Issuer</w:t>
            </w:r>
          </w:p>
        </w:tc>
        <w:tc>
          <w:tcPr>
            <w:tcW w:w="3607" w:type="dxa"/>
            <w:tcBorders/>
            <w:vAlign w:val="center"/>
          </w:tcPr>
          <w:p>
            <w:pPr>
              <w:pStyle w:val="TableContents"/>
              <w:bidi w:val="0"/>
              <w:spacing w:before="0" w:after="0"/>
              <w:jc w:val="left"/>
              <w:rPr/>
            </w:pPr>
            <w:r>
              <w:rPr/>
              <w:t>Caesars Entertainment, Inc.</w:t>
            </w:r>
          </w:p>
        </w:tc>
      </w:tr>
      <w:tr>
        <w:trPr/>
        <w:tc>
          <w:tcPr>
            <w:tcW w:w="6598" w:type="dxa"/>
            <w:tcBorders/>
            <w:vAlign w:val="center"/>
          </w:tcPr>
          <w:p>
            <w:pPr>
              <w:pStyle w:val="TableContents"/>
              <w:bidi w:val="0"/>
              <w:spacing w:before="0" w:after="283"/>
              <w:jc w:val="left"/>
              <w:rPr/>
            </w:pPr>
            <w:r>
              <w:rPr/>
              <w:t>SEC File Number</w:t>
            </w:r>
          </w:p>
        </w:tc>
        <w:tc>
          <w:tcPr>
            <w:tcW w:w="3607" w:type="dxa"/>
            <w:tcBorders/>
            <w:vAlign w:val="center"/>
          </w:tcPr>
          <w:p>
            <w:pPr>
              <w:pStyle w:val="TableContents"/>
              <w:bidi w:val="0"/>
              <w:spacing w:before="0" w:after="283"/>
              <w:jc w:val="left"/>
              <w:rPr>
                <w:sz w:val="4"/>
                <w:szCs w:val="4"/>
              </w:rPr>
            </w:pPr>
            <w:r>
              <w:rPr>
                <w:sz w:val="4"/>
                <w:szCs w:val="4"/>
              </w:rPr>
            </w:r>
          </w:p>
        </w:tc>
      </w:tr>
      <w:tr>
        <w:trPr/>
        <w:tc>
          <w:tcPr>
            <w:tcW w:w="6598" w:type="dxa"/>
            <w:tcBorders/>
            <w:vAlign w:val="center"/>
          </w:tcPr>
          <w:p>
            <w:pPr>
              <w:pStyle w:val="TableContents"/>
              <w:bidi w:val="0"/>
              <w:spacing w:before="0" w:after="283"/>
              <w:jc w:val="left"/>
              <w:rPr/>
            </w:pPr>
            <w:r>
              <w:rPr/>
              <w:t>Address of Issuer</w:t>
            </w:r>
          </w:p>
        </w:tc>
        <w:tc>
          <w:tcPr>
            <w:tcW w:w="3607" w:type="dxa"/>
            <w:tcBorders/>
            <w:vAlign w:val="center"/>
          </w:tcPr>
          <w:p>
            <w:pPr>
              <w:pStyle w:val="TableContents"/>
              <w:bidi w:val="0"/>
              <w:spacing w:before="0" w:after="0"/>
              <w:jc w:val="left"/>
              <w:rPr/>
            </w:pPr>
            <w:r>
              <w:rPr/>
              <w:t>100 West Liberty St</w:t>
              <w:br/>
              <w:t>12th Floor</w:t>
              <w:br/>
              <w:t>Reno</w:t>
              <w:br/>
              <w:t xml:space="preserve">NEVADA </w:t>
              <w:br/>
              <w:t>89501</w:t>
            </w:r>
          </w:p>
        </w:tc>
      </w:tr>
      <w:tr>
        <w:trPr/>
        <w:tc>
          <w:tcPr>
            <w:tcW w:w="6598" w:type="dxa"/>
            <w:tcBorders/>
            <w:vAlign w:val="center"/>
          </w:tcPr>
          <w:p>
            <w:pPr>
              <w:pStyle w:val="TableContents"/>
              <w:bidi w:val="0"/>
              <w:spacing w:before="0" w:after="283"/>
              <w:jc w:val="left"/>
              <w:rPr/>
            </w:pPr>
            <w:r>
              <w:rPr/>
              <w:t>Phone</w:t>
            </w:r>
          </w:p>
        </w:tc>
        <w:tc>
          <w:tcPr>
            <w:tcW w:w="3607" w:type="dxa"/>
            <w:tcBorders/>
            <w:vAlign w:val="center"/>
          </w:tcPr>
          <w:p>
            <w:pPr>
              <w:pStyle w:val="TableContents"/>
              <w:bidi w:val="0"/>
              <w:spacing w:before="0" w:after="0"/>
              <w:jc w:val="left"/>
              <w:rPr/>
            </w:pPr>
            <w:r>
              <w:rPr/>
              <w:t>7753280100</w:t>
            </w:r>
          </w:p>
        </w:tc>
      </w:tr>
      <w:tr>
        <w:trPr/>
        <w:tc>
          <w:tcPr>
            <w:tcW w:w="6598" w:type="dxa"/>
            <w:tcBorders/>
            <w:vAlign w:val="center"/>
          </w:tcPr>
          <w:p>
            <w:pPr>
              <w:pStyle w:val="TableContents"/>
              <w:bidi w:val="0"/>
              <w:spacing w:before="0" w:after="283"/>
              <w:jc w:val="left"/>
              <w:rPr/>
            </w:pPr>
            <w:r>
              <w:rPr/>
              <w:t>Name of Person for Whose Account the Securities are To Be Sold</w:t>
            </w:r>
          </w:p>
        </w:tc>
        <w:tc>
          <w:tcPr>
            <w:tcW w:w="3607" w:type="dxa"/>
            <w:tcBorders/>
            <w:vAlign w:val="center"/>
          </w:tcPr>
          <w:p>
            <w:pPr>
              <w:pStyle w:val="TableContents"/>
              <w:bidi w:val="0"/>
              <w:spacing w:before="0" w:after="0"/>
              <w:jc w:val="left"/>
              <w:rPr/>
            </w:pPr>
            <w:r>
              <w:rPr/>
              <w:t>Bret Yunker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98" w:type="dxa"/>
            <w:tcBorders/>
            <w:vAlign w:val="center"/>
          </w:tcPr>
          <w:p>
            <w:pPr>
              <w:pStyle w:val="TableContents"/>
              <w:bidi w:val="0"/>
              <w:spacing w:before="0" w:after="283"/>
              <w:jc w:val="left"/>
              <w:rPr/>
            </w:pPr>
            <w:r>
              <w:rPr/>
              <w:t>Relationship to Issuer</w:t>
            </w:r>
          </w:p>
        </w:tc>
        <w:tc>
          <w:tcPr>
            <w:tcW w:w="360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4"/>
        <w:gridCol w:w="1509"/>
        <w:gridCol w:w="1167"/>
        <w:gridCol w:w="1460"/>
        <w:gridCol w:w="1551"/>
        <w:gridCol w:w="1566"/>
        <w:gridCol w:w="1378"/>
      </w:tblGrid>
      <w:tr>
        <w:trPr/>
        <w:tc>
          <w:tcPr>
            <w:tcW w:w="1574" w:type="dxa"/>
            <w:tcBorders/>
            <w:vAlign w:val="center"/>
          </w:tcPr>
          <w:p>
            <w:pPr>
              <w:pStyle w:val="TableHeading"/>
              <w:suppressLineNumbers/>
              <w:bidi w:val="0"/>
              <w:spacing w:before="0" w:after="283"/>
              <w:jc w:val="center"/>
              <w:rPr/>
            </w:pPr>
            <w:r>
              <w:rPr/>
              <w:t>Title of the Class of Securities To Be Sold</w:t>
            </w:r>
          </w:p>
        </w:tc>
        <w:tc>
          <w:tcPr>
            <w:tcW w:w="1509" w:type="dxa"/>
            <w:tcBorders/>
            <w:vAlign w:val="center"/>
          </w:tcPr>
          <w:p>
            <w:pPr>
              <w:pStyle w:val="TableHeading"/>
              <w:suppressLineNumbers/>
              <w:bidi w:val="0"/>
              <w:spacing w:before="0" w:after="283"/>
              <w:jc w:val="center"/>
              <w:rPr/>
            </w:pPr>
            <w:r>
              <w:rPr/>
              <w:t>Name and Address of the Broker</w:t>
            </w:r>
          </w:p>
        </w:tc>
        <w:tc>
          <w:tcPr>
            <w:tcW w:w="1167" w:type="dxa"/>
            <w:tcBorders/>
            <w:vAlign w:val="center"/>
          </w:tcPr>
          <w:p>
            <w:pPr>
              <w:pStyle w:val="TableHeading"/>
              <w:suppressLineNumbers/>
              <w:bidi w:val="0"/>
              <w:spacing w:before="0" w:after="283"/>
              <w:jc w:val="center"/>
              <w:rPr/>
            </w:pPr>
            <w:r>
              <w:rPr/>
              <w:t>Number of Shares or Other Units To Be Sold</w:t>
            </w:r>
          </w:p>
        </w:tc>
        <w:tc>
          <w:tcPr>
            <w:tcW w:w="1460" w:type="dxa"/>
            <w:tcBorders/>
            <w:vAlign w:val="center"/>
          </w:tcPr>
          <w:p>
            <w:pPr>
              <w:pStyle w:val="TableHeading"/>
              <w:suppressLineNumbers/>
              <w:bidi w:val="0"/>
              <w:spacing w:before="0" w:after="283"/>
              <w:jc w:val="center"/>
              <w:rPr/>
            </w:pPr>
            <w:r>
              <w:rPr/>
              <w:t>Aggregate Market Value</w:t>
            </w:r>
          </w:p>
        </w:tc>
        <w:tc>
          <w:tcPr>
            <w:tcW w:w="1551" w:type="dxa"/>
            <w:tcBorders/>
            <w:vAlign w:val="center"/>
          </w:tcPr>
          <w:p>
            <w:pPr>
              <w:pStyle w:val="TableHeading"/>
              <w:suppressLineNumbers/>
              <w:bidi w:val="0"/>
              <w:spacing w:before="0" w:after="283"/>
              <w:jc w:val="center"/>
              <w:rPr/>
            </w:pPr>
            <w:r>
              <w:rPr/>
              <w:t>Number of Shares or Other Units Outstanding</w:t>
            </w:r>
          </w:p>
        </w:tc>
        <w:tc>
          <w:tcPr>
            <w:tcW w:w="1566" w:type="dxa"/>
            <w:tcBorders/>
            <w:vAlign w:val="center"/>
          </w:tcPr>
          <w:p>
            <w:pPr>
              <w:pStyle w:val="TableHeading"/>
              <w:suppressLineNumbers/>
              <w:bidi w:val="0"/>
              <w:spacing w:before="0" w:after="283"/>
              <w:jc w:val="center"/>
              <w:rPr/>
            </w:pPr>
            <w:r>
              <w:rPr/>
              <w:t>Approximate Date of Sale</w:t>
            </w:r>
          </w:p>
        </w:tc>
        <w:tc>
          <w:tcPr>
            <w:tcW w:w="1378" w:type="dxa"/>
            <w:tcBorders/>
            <w:vAlign w:val="center"/>
          </w:tcPr>
          <w:p>
            <w:pPr>
              <w:pStyle w:val="TableHeading"/>
              <w:suppressLineNumbers/>
              <w:bidi w:val="0"/>
              <w:spacing w:before="0" w:after="283"/>
              <w:jc w:val="center"/>
              <w:rPr/>
            </w:pPr>
            <w:r>
              <w:rPr/>
              <w:t>Name the Securities Exchange</w:t>
            </w:r>
          </w:p>
        </w:tc>
      </w:tr>
      <w:tr>
        <w:trPr/>
        <w:tc>
          <w:tcPr>
            <w:tcW w:w="1574" w:type="dxa"/>
            <w:tcBorders/>
            <w:vAlign w:val="center"/>
          </w:tcPr>
          <w:p>
            <w:pPr>
              <w:pStyle w:val="TableContents"/>
              <w:bidi w:val="0"/>
              <w:spacing w:before="0" w:after="283"/>
              <w:jc w:val="left"/>
              <w:rPr/>
            </w:pPr>
            <w:r>
              <w:rPr/>
              <w:t>Common</w:t>
            </w:r>
          </w:p>
        </w:tc>
        <w:tc>
          <w:tcPr>
            <w:tcW w:w="1509" w:type="dxa"/>
            <w:tcBorders/>
            <w:vAlign w:val="center"/>
          </w:tcPr>
          <w:p>
            <w:pPr>
              <w:pStyle w:val="TableContents"/>
              <w:bidi w:val="0"/>
              <w:spacing w:before="0" w:after="0"/>
              <w:jc w:val="left"/>
              <w:rPr/>
            </w:pPr>
            <w:r>
              <w:rPr/>
              <w:t>Merrill Lynch</w:t>
              <w:br/>
              <w:t>555 California St</w:t>
              <w:br/>
              <w:t>Ste 1800</w:t>
              <w:br/>
              <w:t>San Francisco   CA   94104</w:t>
            </w:r>
          </w:p>
        </w:tc>
        <w:tc>
          <w:tcPr>
            <w:tcW w:w="1167" w:type="dxa"/>
            <w:tcBorders/>
            <w:vAlign w:val="center"/>
          </w:tcPr>
          <w:p>
            <w:pPr>
              <w:pStyle w:val="TableContents"/>
              <w:bidi w:val="0"/>
              <w:spacing w:before="0" w:after="283"/>
              <w:jc w:val="left"/>
              <w:rPr/>
            </w:pPr>
            <w:r>
              <w:rPr/>
              <w:t>208134</w:t>
            </w:r>
          </w:p>
        </w:tc>
        <w:tc>
          <w:tcPr>
            <w:tcW w:w="1460" w:type="dxa"/>
            <w:tcBorders/>
            <w:vAlign w:val="center"/>
          </w:tcPr>
          <w:p>
            <w:pPr>
              <w:pStyle w:val="TableContents"/>
              <w:bidi w:val="0"/>
              <w:spacing w:before="0" w:after="283"/>
              <w:jc w:val="left"/>
              <w:rPr/>
            </w:pPr>
            <w:r>
              <w:rPr/>
              <w:t>6165781.18</w:t>
            </w:r>
          </w:p>
        </w:tc>
        <w:tc>
          <w:tcPr>
            <w:tcW w:w="1551" w:type="dxa"/>
            <w:tcBorders/>
            <w:vAlign w:val="center"/>
          </w:tcPr>
          <w:p>
            <w:pPr>
              <w:pStyle w:val="TableContents"/>
              <w:bidi w:val="0"/>
              <w:spacing w:before="0" w:after="283"/>
              <w:jc w:val="left"/>
              <w:rPr/>
            </w:pPr>
            <w:r>
              <w:rPr/>
              <w:t>203720372</w:t>
            </w:r>
          </w:p>
        </w:tc>
        <w:tc>
          <w:tcPr>
            <w:tcW w:w="1566" w:type="dxa"/>
            <w:tcBorders/>
            <w:vAlign w:val="center"/>
          </w:tcPr>
          <w:p>
            <w:pPr>
              <w:pStyle w:val="TableContents"/>
              <w:bidi w:val="0"/>
              <w:spacing w:before="0" w:after="283"/>
              <w:jc w:val="left"/>
              <w:rPr/>
            </w:pPr>
            <w:r>
              <w:rPr/>
              <w:t>08/19/2026</w:t>
            </w:r>
          </w:p>
        </w:tc>
        <w:tc>
          <w:tcPr>
            <w:tcW w:w="137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02/17/2026</w:t>
            </w:r>
          </w:p>
        </w:tc>
        <w:tc>
          <w:tcPr>
            <w:tcW w:w="1430" w:type="dxa"/>
            <w:tcBorders/>
            <w:vAlign w:val="center"/>
          </w:tcPr>
          <w:p>
            <w:pPr>
              <w:pStyle w:val="TableContents"/>
              <w:bidi w:val="0"/>
              <w:spacing w:before="0" w:after="283"/>
              <w:jc w:val="left"/>
              <w:rPr/>
            </w:pPr>
            <w:r>
              <w:rPr/>
              <w:t>Stock Bonus</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5958</w:t>
            </w:r>
          </w:p>
        </w:tc>
        <w:tc>
          <w:tcPr>
            <w:tcW w:w="1046" w:type="dxa"/>
            <w:tcBorders/>
            <w:vAlign w:val="center"/>
          </w:tcPr>
          <w:p>
            <w:pPr>
              <w:pStyle w:val="TableContents"/>
              <w:bidi w:val="0"/>
              <w:spacing w:before="0" w:after="283"/>
              <w:jc w:val="left"/>
              <w:rPr/>
            </w:pPr>
            <w:r>
              <w:rPr/>
              <w:t>02/17/2026</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01/29/2026</w:t>
            </w:r>
          </w:p>
        </w:tc>
        <w:tc>
          <w:tcPr>
            <w:tcW w:w="1430" w:type="dxa"/>
            <w:tcBorders/>
            <w:vAlign w:val="center"/>
          </w:tcPr>
          <w:p>
            <w:pPr>
              <w:pStyle w:val="TableContents"/>
              <w:bidi w:val="0"/>
              <w:spacing w:before="0" w:after="283"/>
              <w:jc w:val="left"/>
              <w:rPr/>
            </w:pPr>
            <w:r>
              <w:rPr/>
              <w:t>Stock Bonus</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26849</w:t>
            </w:r>
          </w:p>
        </w:tc>
        <w:tc>
          <w:tcPr>
            <w:tcW w:w="1046" w:type="dxa"/>
            <w:tcBorders/>
            <w:vAlign w:val="center"/>
          </w:tcPr>
          <w:p>
            <w:pPr>
              <w:pStyle w:val="TableContents"/>
              <w:bidi w:val="0"/>
              <w:spacing w:before="0" w:after="283"/>
              <w:jc w:val="left"/>
              <w:rPr/>
            </w:pPr>
            <w:r>
              <w:rPr/>
              <w:t>01/29/2026</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01/01/2026</w:t>
            </w:r>
          </w:p>
        </w:tc>
        <w:tc>
          <w:tcPr>
            <w:tcW w:w="1430" w:type="dxa"/>
            <w:tcBorders/>
            <w:vAlign w:val="center"/>
          </w:tcPr>
          <w:p>
            <w:pPr>
              <w:pStyle w:val="TableContents"/>
              <w:bidi w:val="0"/>
              <w:spacing w:before="0" w:after="283"/>
              <w:jc w:val="left"/>
              <w:rPr/>
            </w:pPr>
            <w:r>
              <w:rPr/>
              <w:t>Stock Bonus</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11266</w:t>
            </w:r>
          </w:p>
        </w:tc>
        <w:tc>
          <w:tcPr>
            <w:tcW w:w="1046" w:type="dxa"/>
            <w:tcBorders/>
            <w:vAlign w:val="center"/>
          </w:tcPr>
          <w:p>
            <w:pPr>
              <w:pStyle w:val="TableContents"/>
              <w:bidi w:val="0"/>
              <w:spacing w:before="0" w:after="283"/>
              <w:jc w:val="left"/>
              <w:rPr/>
            </w:pPr>
            <w:r>
              <w:rPr/>
              <w:t>01/01/2026</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02/25/2025</w:t>
            </w:r>
          </w:p>
        </w:tc>
        <w:tc>
          <w:tcPr>
            <w:tcW w:w="1430" w:type="dxa"/>
            <w:tcBorders/>
            <w:vAlign w:val="center"/>
          </w:tcPr>
          <w:p>
            <w:pPr>
              <w:pStyle w:val="TableContents"/>
              <w:bidi w:val="0"/>
              <w:spacing w:before="0" w:after="283"/>
              <w:jc w:val="left"/>
              <w:rPr/>
            </w:pPr>
            <w:r>
              <w:rPr/>
              <w:t>Stock Bonus</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8980</w:t>
            </w:r>
          </w:p>
        </w:tc>
        <w:tc>
          <w:tcPr>
            <w:tcW w:w="1046" w:type="dxa"/>
            <w:tcBorders/>
            <w:vAlign w:val="center"/>
          </w:tcPr>
          <w:p>
            <w:pPr>
              <w:pStyle w:val="TableContents"/>
              <w:bidi w:val="0"/>
              <w:spacing w:before="0" w:after="283"/>
              <w:jc w:val="left"/>
              <w:rPr/>
            </w:pPr>
            <w:r>
              <w:rPr/>
              <w:t>02/25/2025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01/29/2025</w:t>
            </w:r>
          </w:p>
        </w:tc>
        <w:tc>
          <w:tcPr>
            <w:tcW w:w="1430" w:type="dxa"/>
            <w:tcBorders/>
            <w:vAlign w:val="center"/>
          </w:tcPr>
          <w:p>
            <w:pPr>
              <w:pStyle w:val="TableContents"/>
              <w:bidi w:val="0"/>
              <w:spacing w:before="0" w:after="283"/>
              <w:jc w:val="left"/>
              <w:rPr/>
            </w:pPr>
            <w:r>
              <w:rPr/>
              <w:t>Stock Bonus</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19704</w:t>
            </w:r>
          </w:p>
        </w:tc>
        <w:tc>
          <w:tcPr>
            <w:tcW w:w="1046" w:type="dxa"/>
            <w:tcBorders/>
            <w:vAlign w:val="center"/>
          </w:tcPr>
          <w:p>
            <w:pPr>
              <w:pStyle w:val="TableContents"/>
              <w:bidi w:val="0"/>
              <w:spacing w:before="0" w:after="283"/>
              <w:jc w:val="left"/>
              <w:rPr/>
            </w:pPr>
            <w:r>
              <w:rPr/>
              <w:t>01/29/2025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01/01/2025</w:t>
            </w:r>
          </w:p>
        </w:tc>
        <w:tc>
          <w:tcPr>
            <w:tcW w:w="1430" w:type="dxa"/>
            <w:tcBorders/>
            <w:vAlign w:val="center"/>
          </w:tcPr>
          <w:p>
            <w:pPr>
              <w:pStyle w:val="TableContents"/>
              <w:bidi w:val="0"/>
              <w:spacing w:before="0" w:after="283"/>
              <w:jc w:val="left"/>
              <w:rPr/>
            </w:pPr>
            <w:r>
              <w:rPr/>
              <w:t>Stock Bonus</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11470</w:t>
            </w:r>
          </w:p>
        </w:tc>
        <w:tc>
          <w:tcPr>
            <w:tcW w:w="1046" w:type="dxa"/>
            <w:tcBorders/>
            <w:vAlign w:val="center"/>
          </w:tcPr>
          <w:p>
            <w:pPr>
              <w:pStyle w:val="TableContents"/>
              <w:bidi w:val="0"/>
              <w:spacing w:before="0" w:after="283"/>
              <w:jc w:val="left"/>
              <w:rPr/>
            </w:pPr>
            <w:r>
              <w:rPr/>
              <w:t>01/01/2025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02/20/2024</w:t>
            </w:r>
          </w:p>
        </w:tc>
        <w:tc>
          <w:tcPr>
            <w:tcW w:w="1430" w:type="dxa"/>
            <w:tcBorders/>
            <w:vAlign w:val="center"/>
          </w:tcPr>
          <w:p>
            <w:pPr>
              <w:pStyle w:val="TableContents"/>
              <w:bidi w:val="0"/>
              <w:spacing w:before="0" w:after="283"/>
              <w:jc w:val="left"/>
              <w:rPr/>
            </w:pPr>
            <w:r>
              <w:rPr/>
              <w:t>Stock Bonus</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3796</w:t>
            </w:r>
          </w:p>
        </w:tc>
        <w:tc>
          <w:tcPr>
            <w:tcW w:w="1046" w:type="dxa"/>
            <w:tcBorders/>
            <w:vAlign w:val="center"/>
          </w:tcPr>
          <w:p>
            <w:pPr>
              <w:pStyle w:val="TableContents"/>
              <w:bidi w:val="0"/>
              <w:spacing w:before="0" w:after="283"/>
              <w:jc w:val="left"/>
              <w:rPr/>
            </w:pPr>
            <w:r>
              <w:rPr/>
              <w:t>02/20/2024</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01/29/2024</w:t>
            </w:r>
          </w:p>
        </w:tc>
        <w:tc>
          <w:tcPr>
            <w:tcW w:w="1430" w:type="dxa"/>
            <w:tcBorders/>
            <w:vAlign w:val="center"/>
          </w:tcPr>
          <w:p>
            <w:pPr>
              <w:pStyle w:val="TableContents"/>
              <w:bidi w:val="0"/>
              <w:spacing w:before="0" w:after="283"/>
              <w:jc w:val="left"/>
              <w:rPr/>
            </w:pPr>
            <w:r>
              <w:rPr/>
              <w:t>Stock Bonus</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14380</w:t>
            </w:r>
          </w:p>
        </w:tc>
        <w:tc>
          <w:tcPr>
            <w:tcW w:w="1046" w:type="dxa"/>
            <w:tcBorders/>
            <w:vAlign w:val="center"/>
          </w:tcPr>
          <w:p>
            <w:pPr>
              <w:pStyle w:val="TableContents"/>
              <w:bidi w:val="0"/>
              <w:spacing w:before="0" w:after="283"/>
              <w:jc w:val="left"/>
              <w:rPr/>
            </w:pPr>
            <w:r>
              <w:rPr/>
              <w:t>01/29/2024</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08/20/2023</w:t>
            </w:r>
          </w:p>
        </w:tc>
        <w:tc>
          <w:tcPr>
            <w:tcW w:w="1430" w:type="dxa"/>
            <w:tcBorders/>
            <w:vAlign w:val="center"/>
          </w:tcPr>
          <w:p>
            <w:pPr>
              <w:pStyle w:val="TableContents"/>
              <w:bidi w:val="0"/>
              <w:spacing w:before="0" w:after="283"/>
              <w:jc w:val="left"/>
              <w:rPr/>
            </w:pPr>
            <w:r>
              <w:rPr/>
              <w:t>Stock Bonus</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984</w:t>
            </w:r>
          </w:p>
        </w:tc>
        <w:tc>
          <w:tcPr>
            <w:tcW w:w="1046" w:type="dxa"/>
            <w:tcBorders/>
            <w:vAlign w:val="center"/>
          </w:tcPr>
          <w:p>
            <w:pPr>
              <w:pStyle w:val="TableContents"/>
              <w:bidi w:val="0"/>
              <w:spacing w:before="0" w:after="283"/>
              <w:jc w:val="left"/>
              <w:rPr/>
            </w:pPr>
            <w:r>
              <w:rPr/>
              <w:t>08/20/2023</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08/17/2023</w:t>
            </w:r>
          </w:p>
        </w:tc>
        <w:tc>
          <w:tcPr>
            <w:tcW w:w="1430" w:type="dxa"/>
            <w:tcBorders/>
            <w:vAlign w:val="center"/>
          </w:tcPr>
          <w:p>
            <w:pPr>
              <w:pStyle w:val="TableContents"/>
              <w:bidi w:val="0"/>
              <w:spacing w:before="0" w:after="283"/>
              <w:jc w:val="left"/>
              <w:rPr/>
            </w:pPr>
            <w:r>
              <w:rPr/>
              <w:t>Stock Bonus</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15012</w:t>
            </w:r>
          </w:p>
        </w:tc>
        <w:tc>
          <w:tcPr>
            <w:tcW w:w="1046" w:type="dxa"/>
            <w:tcBorders/>
            <w:vAlign w:val="center"/>
          </w:tcPr>
          <w:p>
            <w:pPr>
              <w:pStyle w:val="TableContents"/>
              <w:bidi w:val="0"/>
              <w:spacing w:before="0" w:after="283"/>
              <w:jc w:val="left"/>
              <w:rPr/>
            </w:pPr>
            <w:r>
              <w:rPr/>
              <w:t>08/17/2023</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01/29/2023</w:t>
            </w:r>
          </w:p>
        </w:tc>
        <w:tc>
          <w:tcPr>
            <w:tcW w:w="1430" w:type="dxa"/>
            <w:tcBorders/>
            <w:vAlign w:val="center"/>
          </w:tcPr>
          <w:p>
            <w:pPr>
              <w:pStyle w:val="TableContents"/>
              <w:bidi w:val="0"/>
              <w:spacing w:before="0" w:after="283"/>
              <w:jc w:val="left"/>
              <w:rPr/>
            </w:pPr>
            <w:r>
              <w:rPr/>
              <w:t>Stock Bonus</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6813</w:t>
            </w:r>
          </w:p>
        </w:tc>
        <w:tc>
          <w:tcPr>
            <w:tcW w:w="1046" w:type="dxa"/>
            <w:tcBorders/>
            <w:vAlign w:val="center"/>
          </w:tcPr>
          <w:p>
            <w:pPr>
              <w:pStyle w:val="TableContents"/>
              <w:bidi w:val="0"/>
              <w:spacing w:before="0" w:after="283"/>
              <w:jc w:val="left"/>
              <w:rPr/>
            </w:pPr>
            <w:r>
              <w:rPr/>
              <w:t>01/29/2023</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01/24/2023</w:t>
            </w:r>
          </w:p>
        </w:tc>
        <w:tc>
          <w:tcPr>
            <w:tcW w:w="1430" w:type="dxa"/>
            <w:tcBorders/>
            <w:vAlign w:val="center"/>
          </w:tcPr>
          <w:p>
            <w:pPr>
              <w:pStyle w:val="TableContents"/>
              <w:bidi w:val="0"/>
              <w:spacing w:before="0" w:after="283"/>
              <w:jc w:val="left"/>
              <w:rPr/>
            </w:pPr>
            <w:r>
              <w:rPr/>
              <w:t>Stock Bonus</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8595</w:t>
            </w:r>
          </w:p>
        </w:tc>
        <w:tc>
          <w:tcPr>
            <w:tcW w:w="1046" w:type="dxa"/>
            <w:tcBorders/>
            <w:vAlign w:val="center"/>
          </w:tcPr>
          <w:p>
            <w:pPr>
              <w:pStyle w:val="TableContents"/>
              <w:bidi w:val="0"/>
              <w:spacing w:before="0" w:after="283"/>
              <w:jc w:val="left"/>
              <w:rPr/>
            </w:pPr>
            <w:r>
              <w:rPr/>
              <w:t>01/24/2023</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01/01/2023</w:t>
            </w:r>
          </w:p>
        </w:tc>
        <w:tc>
          <w:tcPr>
            <w:tcW w:w="1430" w:type="dxa"/>
            <w:tcBorders/>
            <w:vAlign w:val="center"/>
          </w:tcPr>
          <w:p>
            <w:pPr>
              <w:pStyle w:val="TableContents"/>
              <w:bidi w:val="0"/>
              <w:spacing w:before="0" w:after="283"/>
              <w:jc w:val="left"/>
              <w:rPr/>
            </w:pPr>
            <w:r>
              <w:rPr/>
              <w:t>Stock Bonus</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15197</w:t>
            </w:r>
          </w:p>
        </w:tc>
        <w:tc>
          <w:tcPr>
            <w:tcW w:w="1046" w:type="dxa"/>
            <w:tcBorders/>
            <w:vAlign w:val="center"/>
          </w:tcPr>
          <w:p>
            <w:pPr>
              <w:pStyle w:val="TableContents"/>
              <w:bidi w:val="0"/>
              <w:spacing w:before="0" w:after="283"/>
              <w:jc w:val="left"/>
              <w:rPr/>
            </w:pPr>
            <w:r>
              <w:rPr/>
              <w:t>01/01/2023</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08/20/2022</w:t>
            </w:r>
          </w:p>
        </w:tc>
        <w:tc>
          <w:tcPr>
            <w:tcW w:w="1430" w:type="dxa"/>
            <w:tcBorders/>
            <w:vAlign w:val="center"/>
          </w:tcPr>
          <w:p>
            <w:pPr>
              <w:pStyle w:val="TableContents"/>
              <w:bidi w:val="0"/>
              <w:spacing w:before="0" w:after="283"/>
              <w:jc w:val="left"/>
              <w:rPr/>
            </w:pPr>
            <w:r>
              <w:rPr/>
              <w:t>Stock Bonus</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983</w:t>
            </w:r>
          </w:p>
        </w:tc>
        <w:tc>
          <w:tcPr>
            <w:tcW w:w="1046" w:type="dxa"/>
            <w:tcBorders/>
            <w:vAlign w:val="center"/>
          </w:tcPr>
          <w:p>
            <w:pPr>
              <w:pStyle w:val="TableContents"/>
              <w:bidi w:val="0"/>
              <w:spacing w:before="0" w:after="283"/>
              <w:jc w:val="left"/>
              <w:rPr/>
            </w:pPr>
            <w:r>
              <w:rPr/>
              <w:t>08/20/2022</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05/02/2022</w:t>
            </w:r>
          </w:p>
        </w:tc>
        <w:tc>
          <w:tcPr>
            <w:tcW w:w="1430" w:type="dxa"/>
            <w:tcBorders/>
            <w:vAlign w:val="center"/>
          </w:tcPr>
          <w:p>
            <w:pPr>
              <w:pStyle w:val="TableContents"/>
              <w:bidi w:val="0"/>
              <w:spacing w:before="0" w:after="283"/>
              <w:jc w:val="left"/>
              <w:rPr/>
            </w:pPr>
            <w:r>
              <w:rPr/>
              <w:t>Stock Bonus</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17662</w:t>
            </w:r>
          </w:p>
        </w:tc>
        <w:tc>
          <w:tcPr>
            <w:tcW w:w="1046" w:type="dxa"/>
            <w:tcBorders/>
            <w:vAlign w:val="center"/>
          </w:tcPr>
          <w:p>
            <w:pPr>
              <w:pStyle w:val="TableContents"/>
              <w:bidi w:val="0"/>
              <w:spacing w:before="0" w:after="283"/>
              <w:jc w:val="left"/>
              <w:rPr/>
            </w:pPr>
            <w:r>
              <w:rPr/>
              <w:t>05/02/2022</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01/29/2022</w:t>
            </w:r>
          </w:p>
        </w:tc>
        <w:tc>
          <w:tcPr>
            <w:tcW w:w="1430" w:type="dxa"/>
            <w:tcBorders/>
            <w:vAlign w:val="center"/>
          </w:tcPr>
          <w:p>
            <w:pPr>
              <w:pStyle w:val="TableContents"/>
              <w:bidi w:val="0"/>
              <w:spacing w:before="0" w:after="283"/>
              <w:jc w:val="left"/>
              <w:rPr/>
            </w:pPr>
            <w:r>
              <w:rPr/>
              <w:t>Stock Bonus</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2628</w:t>
            </w:r>
          </w:p>
        </w:tc>
        <w:tc>
          <w:tcPr>
            <w:tcW w:w="1046" w:type="dxa"/>
            <w:tcBorders/>
            <w:vAlign w:val="center"/>
          </w:tcPr>
          <w:p>
            <w:pPr>
              <w:pStyle w:val="TableContents"/>
              <w:bidi w:val="0"/>
              <w:spacing w:before="0" w:after="283"/>
              <w:jc w:val="left"/>
              <w:rPr/>
            </w:pPr>
            <w:r>
              <w:rPr/>
              <w:t>01/29/2022</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08/20/2021</w:t>
            </w:r>
          </w:p>
        </w:tc>
        <w:tc>
          <w:tcPr>
            <w:tcW w:w="1430" w:type="dxa"/>
            <w:tcBorders/>
            <w:vAlign w:val="center"/>
          </w:tcPr>
          <w:p>
            <w:pPr>
              <w:pStyle w:val="TableContents"/>
              <w:bidi w:val="0"/>
              <w:spacing w:before="0" w:after="283"/>
              <w:jc w:val="left"/>
              <w:rPr/>
            </w:pPr>
            <w:r>
              <w:rPr/>
              <w:t>Stock Bonus</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983</w:t>
            </w:r>
          </w:p>
        </w:tc>
        <w:tc>
          <w:tcPr>
            <w:tcW w:w="1046" w:type="dxa"/>
            <w:tcBorders/>
            <w:vAlign w:val="center"/>
          </w:tcPr>
          <w:p>
            <w:pPr>
              <w:pStyle w:val="TableContents"/>
              <w:bidi w:val="0"/>
              <w:spacing w:before="0" w:after="283"/>
              <w:jc w:val="left"/>
              <w:rPr/>
            </w:pPr>
            <w:r>
              <w:rPr/>
              <w:t>08/20/2021</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05/15/2020</w:t>
            </w:r>
          </w:p>
        </w:tc>
        <w:tc>
          <w:tcPr>
            <w:tcW w:w="1430" w:type="dxa"/>
            <w:tcBorders/>
            <w:vAlign w:val="center"/>
          </w:tcPr>
          <w:p>
            <w:pPr>
              <w:pStyle w:val="TableContents"/>
              <w:bidi w:val="0"/>
              <w:spacing w:before="0" w:after="283"/>
              <w:jc w:val="left"/>
              <w:rPr/>
            </w:pPr>
            <w:r>
              <w:rPr/>
              <w:t>Stock Bonus</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18437</w:t>
            </w:r>
          </w:p>
        </w:tc>
        <w:tc>
          <w:tcPr>
            <w:tcW w:w="1046" w:type="dxa"/>
            <w:tcBorders/>
            <w:vAlign w:val="center"/>
          </w:tcPr>
          <w:p>
            <w:pPr>
              <w:pStyle w:val="TableContents"/>
              <w:bidi w:val="0"/>
              <w:spacing w:before="0" w:after="283"/>
              <w:jc w:val="left"/>
              <w:rPr/>
            </w:pPr>
            <w:r>
              <w:rPr/>
              <w:t>05/15/2020</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11/02/2019</w:t>
            </w:r>
          </w:p>
        </w:tc>
        <w:tc>
          <w:tcPr>
            <w:tcW w:w="1430" w:type="dxa"/>
            <w:tcBorders/>
            <w:vAlign w:val="center"/>
          </w:tcPr>
          <w:p>
            <w:pPr>
              <w:pStyle w:val="TableContents"/>
              <w:bidi w:val="0"/>
              <w:spacing w:before="0" w:after="283"/>
              <w:jc w:val="left"/>
              <w:rPr/>
            </w:pPr>
            <w:r>
              <w:rPr/>
              <w:t>Stock Bonus</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18437</w:t>
            </w:r>
          </w:p>
        </w:tc>
        <w:tc>
          <w:tcPr>
            <w:tcW w:w="1046" w:type="dxa"/>
            <w:tcBorders/>
            <w:vAlign w:val="center"/>
          </w:tcPr>
          <w:p>
            <w:pPr>
              <w:pStyle w:val="TableContents"/>
              <w:bidi w:val="0"/>
              <w:spacing w:before="0" w:after="283"/>
              <w:jc w:val="left"/>
              <w:rPr/>
            </w:pPr>
            <w:r>
              <w:rPr/>
              <w:t>11/02/2019</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5437"/>
        <w:gridCol w:w="4768"/>
      </w:tblGrid>
      <w:tr>
        <w:trPr/>
        <w:tc>
          <w:tcPr>
            <w:tcW w:w="5437" w:type="dxa"/>
            <w:tcBorders/>
            <w:vAlign w:val="center"/>
          </w:tcPr>
          <w:p>
            <w:pPr>
              <w:pStyle w:val="TableContents"/>
              <w:bidi w:val="0"/>
              <w:spacing w:before="0" w:after="283"/>
              <w:jc w:val="left"/>
              <w:rPr/>
            </w:pPr>
            <w:r>
              <w:rPr/>
              <w:t>Remarks</w:t>
            </w:r>
          </w:p>
        </w:tc>
        <w:tc>
          <w:tcPr>
            <w:tcW w:w="4768" w:type="dxa"/>
            <w:tcBorders/>
            <w:vAlign w:val="center"/>
          </w:tcPr>
          <w:p>
            <w:pPr>
              <w:pStyle w:val="TableContents"/>
              <w:bidi w:val="0"/>
              <w:spacing w:before="0" w:after="283"/>
              <w:jc w:val="left"/>
              <w:rPr>
                <w:sz w:val="4"/>
                <w:szCs w:val="4"/>
              </w:rPr>
            </w:pPr>
            <w:r>
              <w:rPr>
                <w:sz w:val="4"/>
                <w:szCs w:val="4"/>
              </w:rPr>
            </w:r>
          </w:p>
        </w:tc>
      </w:tr>
      <w:tr>
        <w:trPr/>
        <w:tc>
          <w:tcPr>
            <w:tcW w:w="5437" w:type="dxa"/>
            <w:tcBorders/>
            <w:vAlign w:val="center"/>
          </w:tcPr>
          <w:p>
            <w:pPr>
              <w:pStyle w:val="TableContents"/>
              <w:bidi w:val="0"/>
              <w:spacing w:before="0" w:after="283"/>
              <w:jc w:val="left"/>
              <w:rPr/>
            </w:pPr>
            <w:r>
              <w:rPr/>
              <w:t>Date of Notice</w:t>
            </w:r>
          </w:p>
        </w:tc>
        <w:tc>
          <w:tcPr>
            <w:tcW w:w="4768" w:type="dxa"/>
            <w:tcBorders/>
            <w:vAlign w:val="center"/>
          </w:tcPr>
          <w:p>
            <w:pPr>
              <w:pStyle w:val="TableContents"/>
              <w:bidi w:val="0"/>
              <w:spacing w:before="0" w:after="0"/>
              <w:jc w:val="left"/>
              <w:rPr/>
            </w:pPr>
            <w:r>
              <w:rPr/>
              <w:t>08/19/2026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437" w:type="dxa"/>
            <w:tcBorders/>
            <w:vAlign w:val="center"/>
          </w:tcPr>
          <w:p>
            <w:pPr>
              <w:pStyle w:val="TableContents"/>
              <w:bidi w:val="0"/>
              <w:spacing w:before="0" w:after="283"/>
              <w:jc w:val="left"/>
              <w:rPr/>
            </w:pPr>
            <w:r>
              <w:rPr/>
              <w:t>Signature</w:t>
            </w:r>
          </w:p>
        </w:tc>
        <w:tc>
          <w:tcPr>
            <w:tcW w:w="4768" w:type="dxa"/>
            <w:tcBorders/>
            <w:vAlign w:val="center"/>
          </w:tcPr>
          <w:p>
            <w:pPr>
              <w:pStyle w:val="TableContents"/>
              <w:bidi w:val="0"/>
              <w:spacing w:before="0" w:after="0"/>
              <w:jc w:val="left"/>
              <w:rPr/>
            </w:pPr>
            <w:r>
              <w:rPr/>
              <w:t>Bret Yunker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fontTable" Target="fontTable.xml"/><Relationship Id="rId2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713</Words>
  <Characters>3908</Characters>
  <CharactersWithSpaces>4442</CharactersWithSpaces>
  <Paragraphs>220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