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0001200742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13"/>
        <w:gridCol w:w="3392"/>
      </w:tblGrid>
      <w:tr>
        <w:trPr/>
        <w:tc>
          <w:tcPr>
            <w:tcW w:w="6813" w:type="dxa"/>
            <w:tcBorders/>
            <w:vAlign w:val="center"/>
          </w:tcPr>
          <w:p>
            <w:pPr>
              <w:pStyle w:val="TableContents"/>
              <w:bidi w:val="0"/>
              <w:spacing w:before="0" w:after="283"/>
              <w:jc w:val="left"/>
              <w:rPr/>
            </w:pPr>
            <w:r>
              <w:rPr/>
              <w:t>Name of Issuer</w:t>
            </w:r>
          </w:p>
        </w:tc>
        <w:tc>
          <w:tcPr>
            <w:tcW w:w="3392" w:type="dxa"/>
            <w:tcBorders/>
            <w:vAlign w:val="center"/>
          </w:tcPr>
          <w:p>
            <w:pPr>
              <w:pStyle w:val="TableContents"/>
              <w:bidi w:val="0"/>
              <w:spacing w:before="0" w:after="0"/>
              <w:jc w:val="left"/>
              <w:rPr/>
            </w:pPr>
            <w:r>
              <w:rPr/>
              <w:t xml:space="preserve">Caesars Entertainment </w:t>
            </w:r>
          </w:p>
        </w:tc>
      </w:tr>
      <w:tr>
        <w:trPr/>
        <w:tc>
          <w:tcPr>
            <w:tcW w:w="6813" w:type="dxa"/>
            <w:tcBorders/>
            <w:vAlign w:val="center"/>
          </w:tcPr>
          <w:p>
            <w:pPr>
              <w:pStyle w:val="TableContents"/>
              <w:bidi w:val="0"/>
              <w:spacing w:before="0" w:after="283"/>
              <w:jc w:val="left"/>
              <w:rPr/>
            </w:pPr>
            <w:r>
              <w:rPr/>
              <w:t>SEC File Number</w:t>
            </w:r>
          </w:p>
        </w:tc>
        <w:tc>
          <w:tcPr>
            <w:tcW w:w="3392" w:type="dxa"/>
            <w:tcBorders/>
            <w:vAlign w:val="center"/>
          </w:tcPr>
          <w:p>
            <w:pPr>
              <w:pStyle w:val="TableContents"/>
              <w:bidi w:val="0"/>
              <w:spacing w:before="0" w:after="0"/>
              <w:jc w:val="left"/>
              <w:rPr/>
            </w:pPr>
            <w:r>
              <w:rPr/>
              <w:t>001-36629</w:t>
            </w:r>
          </w:p>
        </w:tc>
      </w:tr>
      <w:tr>
        <w:trPr/>
        <w:tc>
          <w:tcPr>
            <w:tcW w:w="6813" w:type="dxa"/>
            <w:tcBorders/>
            <w:vAlign w:val="center"/>
          </w:tcPr>
          <w:p>
            <w:pPr>
              <w:pStyle w:val="TableContents"/>
              <w:bidi w:val="0"/>
              <w:spacing w:before="0" w:after="283"/>
              <w:jc w:val="left"/>
              <w:rPr/>
            </w:pPr>
            <w:r>
              <w:rPr/>
              <w:t>Address of Issuer</w:t>
            </w:r>
          </w:p>
        </w:tc>
        <w:tc>
          <w:tcPr>
            <w:tcW w:w="3392" w:type="dxa"/>
            <w:tcBorders/>
            <w:vAlign w:val="center"/>
          </w:tcPr>
          <w:p>
            <w:pPr>
              <w:pStyle w:val="TableContents"/>
              <w:bidi w:val="0"/>
              <w:spacing w:before="0" w:after="0"/>
              <w:jc w:val="left"/>
              <w:rPr/>
            </w:pPr>
            <w:r>
              <w:rPr/>
              <w:t>1 Caesars Palance Drive</w:t>
              <w:br/>
              <w:t>Las Vegas</w:t>
              <w:br/>
              <w:t xml:space="preserve">NEVADA </w:t>
              <w:br/>
              <w:t>89109</w:t>
            </w:r>
          </w:p>
        </w:tc>
      </w:tr>
      <w:tr>
        <w:trPr/>
        <w:tc>
          <w:tcPr>
            <w:tcW w:w="6813" w:type="dxa"/>
            <w:tcBorders/>
            <w:vAlign w:val="center"/>
          </w:tcPr>
          <w:p>
            <w:pPr>
              <w:pStyle w:val="TableContents"/>
              <w:bidi w:val="0"/>
              <w:spacing w:before="0" w:after="283"/>
              <w:jc w:val="left"/>
              <w:rPr/>
            </w:pPr>
            <w:r>
              <w:rPr/>
              <w:t>Phone</w:t>
            </w:r>
          </w:p>
        </w:tc>
        <w:tc>
          <w:tcPr>
            <w:tcW w:w="3392" w:type="dxa"/>
            <w:tcBorders/>
            <w:vAlign w:val="center"/>
          </w:tcPr>
          <w:p>
            <w:pPr>
              <w:pStyle w:val="TableContents"/>
              <w:bidi w:val="0"/>
              <w:spacing w:before="0" w:after="0"/>
              <w:jc w:val="left"/>
              <w:rPr/>
            </w:pPr>
            <w:r>
              <w:rPr/>
              <w:t>702-407-6269</w:t>
            </w:r>
          </w:p>
        </w:tc>
      </w:tr>
      <w:tr>
        <w:trPr/>
        <w:tc>
          <w:tcPr>
            <w:tcW w:w="6813" w:type="dxa"/>
            <w:tcBorders/>
            <w:vAlign w:val="center"/>
          </w:tcPr>
          <w:p>
            <w:pPr>
              <w:pStyle w:val="TableContents"/>
              <w:bidi w:val="0"/>
              <w:spacing w:before="0" w:after="283"/>
              <w:jc w:val="left"/>
              <w:rPr/>
            </w:pPr>
            <w:r>
              <w:rPr/>
              <w:t>Name of Person for Whose Account the Securities are To Be Sold</w:t>
            </w:r>
          </w:p>
        </w:tc>
        <w:tc>
          <w:tcPr>
            <w:tcW w:w="3392" w:type="dxa"/>
            <w:tcBorders/>
            <w:vAlign w:val="center"/>
          </w:tcPr>
          <w:p>
            <w:pPr>
              <w:pStyle w:val="TableContents"/>
              <w:bidi w:val="0"/>
              <w:spacing w:before="0" w:after="0"/>
              <w:jc w:val="left"/>
              <w:rPr/>
            </w:pPr>
            <w:r>
              <w:rPr/>
              <w:t>Jan Jones Blackhurst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13" w:type="dxa"/>
            <w:tcBorders/>
            <w:vAlign w:val="center"/>
          </w:tcPr>
          <w:p>
            <w:pPr>
              <w:pStyle w:val="TableContents"/>
              <w:bidi w:val="0"/>
              <w:spacing w:before="0" w:after="283"/>
              <w:jc w:val="left"/>
              <w:rPr/>
            </w:pPr>
            <w:r>
              <w:rPr/>
              <w:t>Relationship to Issuer</w:t>
            </w:r>
          </w:p>
        </w:tc>
        <w:tc>
          <w:tcPr>
            <w:tcW w:w="33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682"/>
        <w:gridCol w:w="1142"/>
        <w:gridCol w:w="1434"/>
        <w:gridCol w:w="1528"/>
        <w:gridCol w:w="1552"/>
        <w:gridCol w:w="1351"/>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682"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434"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1"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 stock</w:t>
            </w:r>
          </w:p>
        </w:tc>
        <w:tc>
          <w:tcPr>
            <w:tcW w:w="168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2" w:type="dxa"/>
            <w:tcBorders/>
            <w:vAlign w:val="center"/>
          </w:tcPr>
          <w:p>
            <w:pPr>
              <w:pStyle w:val="TableContents"/>
              <w:bidi w:val="0"/>
              <w:spacing w:before="0" w:after="283"/>
              <w:jc w:val="left"/>
              <w:rPr/>
            </w:pPr>
            <w:r>
              <w:rPr/>
              <w:t>33899</w:t>
            </w:r>
          </w:p>
        </w:tc>
        <w:tc>
          <w:tcPr>
            <w:tcW w:w="1434" w:type="dxa"/>
            <w:tcBorders/>
            <w:vAlign w:val="center"/>
          </w:tcPr>
          <w:p>
            <w:pPr>
              <w:pStyle w:val="TableContents"/>
              <w:bidi w:val="0"/>
              <w:spacing w:before="0" w:after="283"/>
              <w:jc w:val="left"/>
              <w:rPr/>
            </w:pPr>
            <w:r>
              <w:rPr/>
              <w:t>1008495.25</w:t>
            </w:r>
          </w:p>
        </w:tc>
        <w:tc>
          <w:tcPr>
            <w:tcW w:w="1528" w:type="dxa"/>
            <w:tcBorders/>
            <w:vAlign w:val="center"/>
          </w:tcPr>
          <w:p>
            <w:pPr>
              <w:pStyle w:val="TableContents"/>
              <w:bidi w:val="0"/>
              <w:spacing w:before="0" w:after="283"/>
              <w:jc w:val="left"/>
              <w:rPr/>
            </w:pPr>
            <w:r>
              <w:rPr/>
              <w:t>203720372</w:t>
            </w:r>
          </w:p>
        </w:tc>
        <w:tc>
          <w:tcPr>
            <w:tcW w:w="1552" w:type="dxa"/>
            <w:tcBorders/>
            <w:vAlign w:val="center"/>
          </w:tcPr>
          <w:p>
            <w:pPr>
              <w:pStyle w:val="TableContents"/>
              <w:bidi w:val="0"/>
              <w:spacing w:before="0" w:after="283"/>
              <w:jc w:val="left"/>
              <w:rPr/>
            </w:pPr>
            <w:r>
              <w:rPr/>
              <w:t>08/24/2026</w:t>
            </w:r>
          </w:p>
        </w:tc>
        <w:tc>
          <w:tcPr>
            <w:tcW w:w="135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8"/>
        <w:gridCol w:w="1112"/>
        <w:gridCol w:w="1448"/>
        <w:gridCol w:w="1517"/>
        <w:gridCol w:w="519"/>
        <w:gridCol w:w="1112"/>
        <w:gridCol w:w="1163"/>
        <w:gridCol w:w="1053"/>
        <w:gridCol w:w="1173"/>
      </w:tblGrid>
      <w:tr>
        <w:trPr/>
        <w:tc>
          <w:tcPr>
            <w:tcW w:w="1108"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8"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3" w:type="dxa"/>
            <w:tcBorders/>
            <w:vAlign w:val="center"/>
          </w:tcPr>
          <w:p>
            <w:pPr>
              <w:pStyle w:val="TableHeading"/>
              <w:suppressLineNumbers/>
              <w:bidi w:val="0"/>
              <w:spacing w:before="0" w:after="283"/>
              <w:jc w:val="center"/>
              <w:rPr/>
            </w:pPr>
            <w:r>
              <w:rPr/>
              <w:t>Amount of Securities Acquired</w:t>
            </w:r>
          </w:p>
        </w:tc>
        <w:tc>
          <w:tcPr>
            <w:tcW w:w="1053" w:type="dxa"/>
            <w:tcBorders/>
            <w:vAlign w:val="center"/>
          </w:tcPr>
          <w:p>
            <w:pPr>
              <w:pStyle w:val="TableHeading"/>
              <w:suppressLineNumbers/>
              <w:bidi w:val="0"/>
              <w:spacing w:before="0" w:after="283"/>
              <w:jc w:val="center"/>
              <w:rPr/>
            </w:pPr>
            <w:r>
              <w:rPr/>
              <w:t>Date of Payment</w:t>
            </w:r>
          </w:p>
        </w:tc>
        <w:tc>
          <w:tcPr>
            <w:tcW w:w="117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8" w:type="dxa"/>
            <w:tcBorders/>
            <w:vAlign w:val="center"/>
          </w:tcPr>
          <w:p>
            <w:pPr>
              <w:pStyle w:val="TableContents"/>
              <w:bidi w:val="0"/>
              <w:spacing w:before="0" w:after="283"/>
              <w:jc w:val="left"/>
              <w:rPr/>
            </w:pPr>
            <w:r>
              <w:rPr/>
              <w:t>Common Stock</w:t>
            </w:r>
          </w:p>
        </w:tc>
        <w:tc>
          <w:tcPr>
            <w:tcW w:w="1112" w:type="dxa"/>
            <w:tcBorders/>
            <w:vAlign w:val="center"/>
          </w:tcPr>
          <w:p>
            <w:pPr>
              <w:pStyle w:val="TableContents"/>
              <w:bidi w:val="0"/>
              <w:spacing w:before="0" w:after="283"/>
              <w:jc w:val="left"/>
              <w:rPr/>
            </w:pPr>
            <w:r>
              <w:rPr/>
              <w:t>01/29/2021</w:t>
            </w:r>
          </w:p>
        </w:tc>
        <w:tc>
          <w:tcPr>
            <w:tcW w:w="1448" w:type="dxa"/>
            <w:tcBorders/>
            <w:vAlign w:val="center"/>
          </w:tcPr>
          <w:p>
            <w:pPr>
              <w:pStyle w:val="TableContents"/>
              <w:bidi w:val="0"/>
              <w:spacing w:before="0" w:after="283"/>
              <w:jc w:val="left"/>
              <w:rPr/>
            </w:pPr>
            <w:r>
              <w:rPr/>
              <w:t>Stock grant</w:t>
            </w:r>
          </w:p>
        </w:tc>
        <w:tc>
          <w:tcPr>
            <w:tcW w:w="1517" w:type="dxa"/>
            <w:tcBorders/>
            <w:vAlign w:val="center"/>
          </w:tcPr>
          <w:p>
            <w:pPr>
              <w:pStyle w:val="TableContents"/>
              <w:bidi w:val="0"/>
              <w:spacing w:before="0" w:after="283"/>
              <w:jc w:val="left"/>
              <w:rPr/>
            </w:pPr>
            <w:r>
              <w:rPr/>
              <w:t>Caesars Entertainment Inc.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2933</w:t>
            </w:r>
          </w:p>
        </w:tc>
        <w:tc>
          <w:tcPr>
            <w:tcW w:w="1053" w:type="dxa"/>
            <w:tcBorders/>
            <w:vAlign w:val="center"/>
          </w:tcPr>
          <w:p>
            <w:pPr>
              <w:pStyle w:val="TableContents"/>
              <w:bidi w:val="0"/>
              <w:spacing w:before="0" w:after="283"/>
              <w:jc w:val="left"/>
              <w:rPr/>
            </w:pPr>
            <w:r>
              <w:rPr/>
              <w:t>01/29/2021</w:t>
            </w:r>
          </w:p>
        </w:tc>
        <w:tc>
          <w:tcPr>
            <w:tcW w:w="1173" w:type="dxa"/>
            <w:tcBorders/>
            <w:vAlign w:val="center"/>
          </w:tcPr>
          <w:p>
            <w:pPr>
              <w:pStyle w:val="TableContents"/>
              <w:bidi w:val="0"/>
              <w:spacing w:before="0" w:after="283"/>
              <w:jc w:val="left"/>
              <w:rPr/>
            </w:pPr>
            <w:r>
              <w:rPr/>
              <w:t>Stock Grant</w:t>
            </w:r>
          </w:p>
        </w:tc>
      </w:tr>
      <w:tr>
        <w:trPr/>
        <w:tc>
          <w:tcPr>
            <w:tcW w:w="1108" w:type="dxa"/>
            <w:tcBorders/>
            <w:vAlign w:val="center"/>
          </w:tcPr>
          <w:p>
            <w:pPr>
              <w:pStyle w:val="TableContents"/>
              <w:bidi w:val="0"/>
              <w:spacing w:before="0" w:after="283"/>
              <w:jc w:val="left"/>
              <w:rPr/>
            </w:pPr>
            <w:r>
              <w:rPr/>
              <w:t>Common Stock</w:t>
            </w:r>
          </w:p>
        </w:tc>
        <w:tc>
          <w:tcPr>
            <w:tcW w:w="1112" w:type="dxa"/>
            <w:tcBorders/>
            <w:vAlign w:val="center"/>
          </w:tcPr>
          <w:p>
            <w:pPr>
              <w:pStyle w:val="TableContents"/>
              <w:bidi w:val="0"/>
              <w:spacing w:before="0" w:after="283"/>
              <w:jc w:val="left"/>
              <w:rPr/>
            </w:pPr>
            <w:r>
              <w:rPr/>
              <w:t>01/28/2022</w:t>
            </w:r>
          </w:p>
        </w:tc>
        <w:tc>
          <w:tcPr>
            <w:tcW w:w="1448" w:type="dxa"/>
            <w:tcBorders/>
            <w:vAlign w:val="center"/>
          </w:tcPr>
          <w:p>
            <w:pPr>
              <w:pStyle w:val="TableContents"/>
              <w:bidi w:val="0"/>
              <w:spacing w:before="0" w:after="283"/>
              <w:jc w:val="left"/>
              <w:rPr/>
            </w:pPr>
            <w:r>
              <w:rPr/>
              <w:t>Stock Grant</w:t>
            </w:r>
          </w:p>
        </w:tc>
        <w:tc>
          <w:tcPr>
            <w:tcW w:w="1517" w:type="dxa"/>
            <w:tcBorders/>
            <w:vAlign w:val="center"/>
          </w:tcPr>
          <w:p>
            <w:pPr>
              <w:pStyle w:val="TableContents"/>
              <w:bidi w:val="0"/>
              <w:spacing w:before="0" w:after="283"/>
              <w:jc w:val="left"/>
              <w:rPr/>
            </w:pPr>
            <w:r>
              <w:rPr/>
              <w:t>Caesars Entertainment Inc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2695</w:t>
            </w:r>
          </w:p>
        </w:tc>
        <w:tc>
          <w:tcPr>
            <w:tcW w:w="1053" w:type="dxa"/>
            <w:tcBorders/>
            <w:vAlign w:val="center"/>
          </w:tcPr>
          <w:p>
            <w:pPr>
              <w:pStyle w:val="TableContents"/>
              <w:bidi w:val="0"/>
              <w:spacing w:before="0" w:after="283"/>
              <w:jc w:val="left"/>
              <w:rPr/>
            </w:pPr>
            <w:r>
              <w:rPr/>
              <w:t>01/28/2022</w:t>
            </w:r>
          </w:p>
        </w:tc>
        <w:tc>
          <w:tcPr>
            <w:tcW w:w="1173" w:type="dxa"/>
            <w:tcBorders/>
            <w:vAlign w:val="center"/>
          </w:tcPr>
          <w:p>
            <w:pPr>
              <w:pStyle w:val="TableContents"/>
              <w:bidi w:val="0"/>
              <w:spacing w:before="0" w:after="283"/>
              <w:jc w:val="left"/>
              <w:rPr/>
            </w:pPr>
            <w:r>
              <w:rPr/>
              <w:t>Stock Grant</w:t>
            </w:r>
          </w:p>
        </w:tc>
      </w:tr>
      <w:tr>
        <w:trPr/>
        <w:tc>
          <w:tcPr>
            <w:tcW w:w="1108" w:type="dxa"/>
            <w:tcBorders/>
            <w:vAlign w:val="center"/>
          </w:tcPr>
          <w:p>
            <w:pPr>
              <w:pStyle w:val="TableContents"/>
              <w:bidi w:val="0"/>
              <w:spacing w:before="0" w:after="283"/>
              <w:jc w:val="left"/>
              <w:rPr/>
            </w:pPr>
            <w:r>
              <w:rPr/>
              <w:t>Common Stock</w:t>
            </w:r>
          </w:p>
        </w:tc>
        <w:tc>
          <w:tcPr>
            <w:tcW w:w="1112" w:type="dxa"/>
            <w:tcBorders/>
            <w:vAlign w:val="center"/>
          </w:tcPr>
          <w:p>
            <w:pPr>
              <w:pStyle w:val="TableContents"/>
              <w:bidi w:val="0"/>
              <w:spacing w:before="0" w:after="283"/>
              <w:jc w:val="left"/>
              <w:rPr/>
            </w:pPr>
            <w:r>
              <w:rPr/>
              <w:t>01/27/2023</w:t>
            </w:r>
          </w:p>
        </w:tc>
        <w:tc>
          <w:tcPr>
            <w:tcW w:w="1448" w:type="dxa"/>
            <w:tcBorders/>
            <w:vAlign w:val="center"/>
          </w:tcPr>
          <w:p>
            <w:pPr>
              <w:pStyle w:val="TableContents"/>
              <w:bidi w:val="0"/>
              <w:spacing w:before="0" w:after="283"/>
              <w:jc w:val="left"/>
              <w:rPr/>
            </w:pPr>
            <w:r>
              <w:rPr/>
              <w:t>Stock Grant</w:t>
            </w:r>
          </w:p>
        </w:tc>
        <w:tc>
          <w:tcPr>
            <w:tcW w:w="1517" w:type="dxa"/>
            <w:tcBorders/>
            <w:vAlign w:val="center"/>
          </w:tcPr>
          <w:p>
            <w:pPr>
              <w:pStyle w:val="TableContents"/>
              <w:bidi w:val="0"/>
              <w:spacing w:before="0" w:after="283"/>
              <w:jc w:val="left"/>
              <w:rPr/>
            </w:pPr>
            <w:r>
              <w:rPr/>
              <w:t>Caesars Entertainment Inc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4881</w:t>
            </w:r>
          </w:p>
        </w:tc>
        <w:tc>
          <w:tcPr>
            <w:tcW w:w="1053" w:type="dxa"/>
            <w:tcBorders/>
            <w:vAlign w:val="center"/>
          </w:tcPr>
          <w:p>
            <w:pPr>
              <w:pStyle w:val="TableContents"/>
              <w:bidi w:val="0"/>
              <w:spacing w:before="0" w:after="283"/>
              <w:jc w:val="left"/>
              <w:rPr/>
            </w:pPr>
            <w:r>
              <w:rPr/>
              <w:t>01/27/2023</w:t>
            </w:r>
          </w:p>
        </w:tc>
        <w:tc>
          <w:tcPr>
            <w:tcW w:w="1173" w:type="dxa"/>
            <w:tcBorders/>
            <w:vAlign w:val="center"/>
          </w:tcPr>
          <w:p>
            <w:pPr>
              <w:pStyle w:val="TableContents"/>
              <w:bidi w:val="0"/>
              <w:spacing w:before="0" w:after="283"/>
              <w:jc w:val="left"/>
              <w:rPr/>
            </w:pPr>
            <w:r>
              <w:rPr/>
              <w:t>Stock Grant</w:t>
            </w:r>
          </w:p>
        </w:tc>
      </w:tr>
      <w:tr>
        <w:trPr/>
        <w:tc>
          <w:tcPr>
            <w:tcW w:w="1108" w:type="dxa"/>
            <w:tcBorders/>
            <w:vAlign w:val="center"/>
          </w:tcPr>
          <w:p>
            <w:pPr>
              <w:pStyle w:val="TableContents"/>
              <w:bidi w:val="0"/>
              <w:spacing w:before="0" w:after="283"/>
              <w:jc w:val="left"/>
              <w:rPr/>
            </w:pPr>
            <w:r>
              <w:rPr/>
              <w:t>Common Stock</w:t>
            </w:r>
          </w:p>
        </w:tc>
        <w:tc>
          <w:tcPr>
            <w:tcW w:w="1112" w:type="dxa"/>
            <w:tcBorders/>
            <w:vAlign w:val="center"/>
          </w:tcPr>
          <w:p>
            <w:pPr>
              <w:pStyle w:val="TableContents"/>
              <w:bidi w:val="0"/>
              <w:spacing w:before="0" w:after="283"/>
              <w:jc w:val="left"/>
              <w:rPr/>
            </w:pPr>
            <w:r>
              <w:rPr/>
              <w:t>01/26/2024</w:t>
            </w:r>
          </w:p>
        </w:tc>
        <w:tc>
          <w:tcPr>
            <w:tcW w:w="1448" w:type="dxa"/>
            <w:tcBorders/>
            <w:vAlign w:val="center"/>
          </w:tcPr>
          <w:p>
            <w:pPr>
              <w:pStyle w:val="TableContents"/>
              <w:bidi w:val="0"/>
              <w:spacing w:before="0" w:after="283"/>
              <w:jc w:val="left"/>
              <w:rPr/>
            </w:pPr>
            <w:r>
              <w:rPr/>
              <w:t>Stock Grant</w:t>
            </w:r>
          </w:p>
        </w:tc>
        <w:tc>
          <w:tcPr>
            <w:tcW w:w="1517" w:type="dxa"/>
            <w:tcBorders/>
            <w:vAlign w:val="center"/>
          </w:tcPr>
          <w:p>
            <w:pPr>
              <w:pStyle w:val="TableContents"/>
              <w:bidi w:val="0"/>
              <w:spacing w:before="0" w:after="283"/>
              <w:jc w:val="left"/>
              <w:rPr/>
            </w:pPr>
            <w:r>
              <w:rPr/>
              <w:t>Caesars Entertainment Inc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5469</w:t>
            </w:r>
          </w:p>
        </w:tc>
        <w:tc>
          <w:tcPr>
            <w:tcW w:w="1053" w:type="dxa"/>
            <w:tcBorders/>
            <w:vAlign w:val="center"/>
          </w:tcPr>
          <w:p>
            <w:pPr>
              <w:pStyle w:val="TableContents"/>
              <w:bidi w:val="0"/>
              <w:spacing w:before="0" w:after="283"/>
              <w:jc w:val="left"/>
              <w:rPr/>
            </w:pPr>
            <w:r>
              <w:rPr/>
              <w:t>01/26/2024</w:t>
            </w:r>
          </w:p>
        </w:tc>
        <w:tc>
          <w:tcPr>
            <w:tcW w:w="1173" w:type="dxa"/>
            <w:tcBorders/>
            <w:vAlign w:val="center"/>
          </w:tcPr>
          <w:p>
            <w:pPr>
              <w:pStyle w:val="TableContents"/>
              <w:bidi w:val="0"/>
              <w:spacing w:before="0" w:after="283"/>
              <w:jc w:val="left"/>
              <w:rPr/>
            </w:pPr>
            <w:r>
              <w:rPr/>
              <w:t>Stock Grant</w:t>
            </w:r>
          </w:p>
        </w:tc>
      </w:tr>
      <w:tr>
        <w:trPr/>
        <w:tc>
          <w:tcPr>
            <w:tcW w:w="1108" w:type="dxa"/>
            <w:tcBorders/>
            <w:vAlign w:val="center"/>
          </w:tcPr>
          <w:p>
            <w:pPr>
              <w:pStyle w:val="TableContents"/>
              <w:bidi w:val="0"/>
              <w:spacing w:before="0" w:after="283"/>
              <w:jc w:val="left"/>
              <w:rPr/>
            </w:pPr>
            <w:r>
              <w:rPr/>
              <w:t>Common Stock</w:t>
            </w:r>
          </w:p>
        </w:tc>
        <w:tc>
          <w:tcPr>
            <w:tcW w:w="1112" w:type="dxa"/>
            <w:tcBorders/>
            <w:vAlign w:val="center"/>
          </w:tcPr>
          <w:p>
            <w:pPr>
              <w:pStyle w:val="TableContents"/>
              <w:bidi w:val="0"/>
              <w:spacing w:before="0" w:after="283"/>
              <w:jc w:val="left"/>
              <w:rPr/>
            </w:pPr>
            <w:r>
              <w:rPr/>
              <w:t>01/24/2025</w:t>
            </w:r>
          </w:p>
        </w:tc>
        <w:tc>
          <w:tcPr>
            <w:tcW w:w="1448" w:type="dxa"/>
            <w:tcBorders/>
            <w:vAlign w:val="center"/>
          </w:tcPr>
          <w:p>
            <w:pPr>
              <w:pStyle w:val="TableContents"/>
              <w:bidi w:val="0"/>
              <w:spacing w:before="0" w:after="283"/>
              <w:jc w:val="left"/>
              <w:rPr/>
            </w:pPr>
            <w:r>
              <w:rPr/>
              <w:t>Stock Grant</w:t>
            </w:r>
          </w:p>
        </w:tc>
        <w:tc>
          <w:tcPr>
            <w:tcW w:w="1517" w:type="dxa"/>
            <w:tcBorders/>
            <w:vAlign w:val="center"/>
          </w:tcPr>
          <w:p>
            <w:pPr>
              <w:pStyle w:val="TableContents"/>
              <w:bidi w:val="0"/>
              <w:spacing w:before="0" w:after="283"/>
              <w:jc w:val="left"/>
              <w:rPr/>
            </w:pPr>
            <w:r>
              <w:rPr/>
              <w:t>Caesars Entertainment Inc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7552</w:t>
            </w:r>
          </w:p>
        </w:tc>
        <w:tc>
          <w:tcPr>
            <w:tcW w:w="1053" w:type="dxa"/>
            <w:tcBorders/>
            <w:vAlign w:val="center"/>
          </w:tcPr>
          <w:p>
            <w:pPr>
              <w:pStyle w:val="TableContents"/>
              <w:bidi w:val="0"/>
              <w:spacing w:before="0" w:after="283"/>
              <w:jc w:val="left"/>
              <w:rPr/>
            </w:pPr>
            <w:r>
              <w:rPr/>
              <w:t>01/24/2025</w:t>
            </w:r>
          </w:p>
        </w:tc>
        <w:tc>
          <w:tcPr>
            <w:tcW w:w="1173" w:type="dxa"/>
            <w:tcBorders/>
            <w:vAlign w:val="center"/>
          </w:tcPr>
          <w:p>
            <w:pPr>
              <w:pStyle w:val="TableContents"/>
              <w:bidi w:val="0"/>
              <w:spacing w:before="0" w:after="283"/>
              <w:jc w:val="left"/>
              <w:rPr/>
            </w:pPr>
            <w:r>
              <w:rPr/>
              <w:t>Stock Grant</w:t>
            </w:r>
          </w:p>
        </w:tc>
      </w:tr>
      <w:tr>
        <w:trPr/>
        <w:tc>
          <w:tcPr>
            <w:tcW w:w="1108" w:type="dxa"/>
            <w:tcBorders/>
            <w:vAlign w:val="center"/>
          </w:tcPr>
          <w:p>
            <w:pPr>
              <w:pStyle w:val="TableContents"/>
              <w:bidi w:val="0"/>
              <w:spacing w:before="0" w:after="283"/>
              <w:jc w:val="left"/>
              <w:rPr/>
            </w:pPr>
            <w:r>
              <w:rPr/>
              <w:t>Common Stock</w:t>
            </w:r>
          </w:p>
        </w:tc>
        <w:tc>
          <w:tcPr>
            <w:tcW w:w="1112" w:type="dxa"/>
            <w:tcBorders/>
            <w:vAlign w:val="center"/>
          </w:tcPr>
          <w:p>
            <w:pPr>
              <w:pStyle w:val="TableContents"/>
              <w:bidi w:val="0"/>
              <w:spacing w:before="0" w:after="283"/>
              <w:jc w:val="left"/>
              <w:rPr/>
            </w:pPr>
            <w:r>
              <w:rPr/>
              <w:t>01/23/2026</w:t>
            </w:r>
          </w:p>
        </w:tc>
        <w:tc>
          <w:tcPr>
            <w:tcW w:w="1448" w:type="dxa"/>
            <w:tcBorders/>
            <w:vAlign w:val="center"/>
          </w:tcPr>
          <w:p>
            <w:pPr>
              <w:pStyle w:val="TableContents"/>
              <w:bidi w:val="0"/>
              <w:spacing w:before="0" w:after="283"/>
              <w:jc w:val="left"/>
              <w:rPr/>
            </w:pPr>
            <w:r>
              <w:rPr/>
              <w:t>Stock Grant</w:t>
            </w:r>
          </w:p>
        </w:tc>
        <w:tc>
          <w:tcPr>
            <w:tcW w:w="1517" w:type="dxa"/>
            <w:tcBorders/>
            <w:vAlign w:val="center"/>
          </w:tcPr>
          <w:p>
            <w:pPr>
              <w:pStyle w:val="TableContents"/>
              <w:bidi w:val="0"/>
              <w:spacing w:before="0" w:after="283"/>
              <w:jc w:val="left"/>
              <w:rPr/>
            </w:pPr>
            <w:r>
              <w:rPr/>
              <w:t>Caesars Entertainment Inc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10369</w:t>
            </w:r>
          </w:p>
        </w:tc>
        <w:tc>
          <w:tcPr>
            <w:tcW w:w="1053" w:type="dxa"/>
            <w:tcBorders/>
            <w:vAlign w:val="center"/>
          </w:tcPr>
          <w:p>
            <w:pPr>
              <w:pStyle w:val="TableContents"/>
              <w:bidi w:val="0"/>
              <w:spacing w:before="0" w:after="283"/>
              <w:jc w:val="left"/>
              <w:rPr/>
            </w:pPr>
            <w:r>
              <w:rPr/>
              <w:t>01/23/2026</w:t>
            </w:r>
          </w:p>
        </w:tc>
        <w:tc>
          <w:tcPr>
            <w:tcW w:w="1173" w:type="dxa"/>
            <w:tcBorders/>
            <w:vAlign w:val="center"/>
          </w:tcPr>
          <w:p>
            <w:pPr>
              <w:pStyle w:val="TableContents"/>
              <w:bidi w:val="0"/>
              <w:spacing w:before="0" w:after="283"/>
              <w:jc w:val="left"/>
              <w:rPr/>
            </w:pPr>
            <w:r>
              <w:rPr/>
              <w:t>Stock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69"/>
        <w:gridCol w:w="8136"/>
      </w:tblGrid>
      <w:tr>
        <w:trPr/>
        <w:tc>
          <w:tcPr>
            <w:tcW w:w="2069" w:type="dxa"/>
            <w:tcBorders/>
            <w:vAlign w:val="center"/>
          </w:tcPr>
          <w:p>
            <w:pPr>
              <w:pStyle w:val="TableContents"/>
              <w:bidi w:val="0"/>
              <w:spacing w:before="0" w:after="283"/>
              <w:jc w:val="left"/>
              <w:rPr/>
            </w:pPr>
            <w:r>
              <w:rPr/>
              <w:t>Remarks</w:t>
            </w:r>
          </w:p>
        </w:tc>
        <w:tc>
          <w:tcPr>
            <w:tcW w:w="8136" w:type="dxa"/>
            <w:tcBorders/>
            <w:vAlign w:val="center"/>
          </w:tcPr>
          <w:p>
            <w:pPr>
              <w:pStyle w:val="TableContents"/>
              <w:bidi w:val="0"/>
              <w:spacing w:before="0" w:after="283"/>
              <w:jc w:val="left"/>
              <w:rPr>
                <w:sz w:val="4"/>
                <w:szCs w:val="4"/>
              </w:rPr>
            </w:pPr>
            <w:r>
              <w:rPr>
                <w:sz w:val="4"/>
                <w:szCs w:val="4"/>
              </w:rPr>
            </w:r>
          </w:p>
        </w:tc>
      </w:tr>
      <w:tr>
        <w:trPr/>
        <w:tc>
          <w:tcPr>
            <w:tcW w:w="2069" w:type="dxa"/>
            <w:tcBorders/>
            <w:vAlign w:val="center"/>
          </w:tcPr>
          <w:p>
            <w:pPr>
              <w:pStyle w:val="TableContents"/>
              <w:bidi w:val="0"/>
              <w:spacing w:before="0" w:after="283"/>
              <w:jc w:val="left"/>
              <w:rPr/>
            </w:pPr>
            <w:r>
              <w:rPr/>
              <w:t>Date of Notice</w:t>
            </w:r>
          </w:p>
        </w:tc>
        <w:tc>
          <w:tcPr>
            <w:tcW w:w="8136"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69" w:type="dxa"/>
            <w:tcBorders/>
            <w:vAlign w:val="center"/>
          </w:tcPr>
          <w:p>
            <w:pPr>
              <w:pStyle w:val="TableContents"/>
              <w:bidi w:val="0"/>
              <w:spacing w:before="0" w:after="283"/>
              <w:jc w:val="left"/>
              <w:rPr/>
            </w:pPr>
            <w:r>
              <w:rPr/>
              <w:t>Signature</w:t>
            </w:r>
          </w:p>
        </w:tc>
        <w:tc>
          <w:tcPr>
            <w:tcW w:w="8136" w:type="dxa"/>
            <w:tcBorders/>
            <w:vAlign w:val="center"/>
          </w:tcPr>
          <w:p>
            <w:pPr>
              <w:pStyle w:val="TableContents"/>
              <w:bidi w:val="0"/>
              <w:spacing w:before="0" w:after="0"/>
              <w:jc w:val="left"/>
              <w:rPr/>
            </w:pPr>
            <w:r>
              <w:rPr/>
              <w:t>/s/Mijo Suric, for UBS Financial Services Inc, as attorney-in-fact for Jan Jones Blackhurst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3364</Characters>
  <CharactersWithSpaces>3922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