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21, 2019 (February 21,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CAESARS ENTERTAINMENT CORPORATION</w:t>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679" w:right="259" w:bottom="1440" w:gutter="0" w:footer="0" w:header="0"/>
        </w:sectPr>
      </w:pPr>
    </w:p>
    <w:p>
      <w:pPr>
        <w:spacing w:after="0" w:line="38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001-10410</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62-1411755</w:t>
      </w:r>
    </w:p>
    <w:p>
      <w:pPr>
        <w:spacing w:after="0" w:line="90" w:lineRule="exact"/>
        <w:rPr>
          <w:sz w:val="24"/>
          <w:szCs w:val="24"/>
          <w:color w:val="auto"/>
        </w:rPr>
      </w:pPr>
    </w:p>
    <w:p>
      <w:pPr>
        <w:sectPr>
          <w:pgSz w:w="11900" w:h="16838" w:orient="portrait"/>
          <w:cols w:equalWidth="0" w:num="3">
            <w:col w:w="4620" w:space="720"/>
            <w:col w:w="3100" w:space="720"/>
            <w:col w:w="2240"/>
          </w:cols>
          <w:pgMar w:left="240" w:top="679" w:right="25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020" w:space="720"/>
            <w:col w:w="3580" w:space="720"/>
            <w:col w:w="2360"/>
          </w:cols>
          <w:pgMar w:left="240" w:top="679" w:right="259" w:bottom="1440" w:gutter="0" w:footer="0" w:header="0"/>
          <w:type w:val="continuous"/>
        </w:sectPr>
      </w:pPr>
    </w:p>
    <w:p>
      <w:pPr>
        <w:ind w:left="8760"/>
        <w:spacing w:after="0"/>
        <w:rPr>
          <w:sz w:val="20"/>
          <w:szCs w:val="20"/>
          <w:color w:val="auto"/>
        </w:rPr>
      </w:pPr>
      <w:r>
        <w:rPr>
          <w:rFonts w:ascii="Arial" w:cs="Arial" w:eastAsia="Arial" w:hAnsi="Arial"/>
          <w:sz w:val="16"/>
          <w:szCs w:val="16"/>
          <w:color w:val="auto"/>
        </w:rPr>
        <w:t>Identification Number)</w:t>
      </w:r>
    </w:p>
    <w:p>
      <w:pPr>
        <w:spacing w:after="0" w:line="82"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One Caesars Palace Drive</w:t>
      </w:r>
    </w:p>
    <w:p>
      <w:pPr>
        <w:spacing w:after="0" w:line="63"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Las Vegas, Nevada 89109</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(702) 407-6000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(Former Name or Former Address, if Changed Since Last Report)</w:t>
      </w:r>
    </w:p>
    <w:p>
      <w:pPr>
        <w:sectPr>
          <w:pgSz w:w="11900" w:h="16838" w:orient="portrait"/>
          <w:cols w:equalWidth="0" w:num="1">
            <w:col w:w="11400"/>
          </w:cols>
          <w:pgMar w:left="240" w:top="679" w:right="259" w:bottom="1440" w:gutter="0" w:footer="0" w:header="0"/>
          <w:type w:val="continuous"/>
        </w:sectPr>
      </w:pP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40"/>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3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67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1D1E"/>
        </w:rPr>
        <w:t>Item 7.01 Regulation FD Disclosure</w:t>
      </w:r>
      <w:r>
        <w:rPr>
          <w:rFonts w:ascii="Arial" w:cs="Arial" w:eastAsia="Arial" w:hAnsi="Arial"/>
          <w:sz w:val="18"/>
          <w:szCs w:val="18"/>
          <w:b w:val="1"/>
          <w:bCs w:val="1"/>
          <w:color w:val="000000"/>
        </w:rPr>
        <w: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21, 2019, Caesars Entertainment Corporation provided the Annual Report for the fiscal year ended December 31, 2018 (the “CRC LLC Annual Report”) of its wholly owned subsidiary Caesars Resort Collection, LLC (“CRC LLC”) as required under a certain indenture of CRC LLC. Attached and incorporated herein by reference as Exhibit 99.1 and as Exhibits 99.2 and 99.3 are copies of the CRC LLC Annual Report and certain Exhibits thereto,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in this Current Report on Form 8-K, including the exhibits furnished herewith, shall not be deemed “filed” for purposes of Section 18 of the Securities Exchange Act of 1934, as amended, or otherwise incorporated by reference in any filing pursuant to the Securities Act of 1933, as amended, or the Securities Exchange Act of 1934, as amended, except as shall be expressly set forth by specific reference in such a filing. The furnishing of the information in this report, including the exhibits furnished herewith, is not intended to, and does not, constitute a determination or admission as to the materiality or completeness of such information.</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87"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63" w:lineRule="exact"/>
        <w:rPr>
          <w:rFonts w:ascii="Arial" w:cs="Arial" w:eastAsia="Arial" w:hAnsi="Arial"/>
          <w:sz w:val="18"/>
          <w:szCs w:val="18"/>
          <w:color w:val="auto"/>
        </w:rPr>
      </w:pPr>
    </w:p>
    <w:p>
      <w:pPr>
        <w:ind w:left="540"/>
        <w:spacing w:after="0"/>
        <w:rPr>
          <w:rFonts w:ascii="Arial" w:cs="Arial" w:eastAsia="Arial" w:hAnsi="Arial"/>
          <w:sz w:val="16"/>
          <w:szCs w:val="16"/>
          <w:u w:val="single" w:color="auto"/>
          <w:color w:val="0000FF"/>
        </w:rPr>
      </w:pPr>
      <w:r>
        <w:rPr>
          <w:rFonts w:ascii="Arial" w:cs="Arial" w:eastAsia="Arial" w:hAnsi="Arial"/>
          <w:sz w:val="18"/>
          <w:szCs w:val="18"/>
          <w:color w:val="auto"/>
        </w:rPr>
        <w:t>99.1</w:t>
      </w:r>
      <w:hyperlink w:anchor="page4">
        <w:r>
          <w:rPr>
            <w:rFonts w:ascii="Arial" w:cs="Arial" w:eastAsia="Arial" w:hAnsi="Arial"/>
            <w:sz w:val="16"/>
            <w:szCs w:val="16"/>
            <w:u w:val="single" w:color="auto"/>
            <w:color w:val="0000FF"/>
          </w:rPr>
          <w:t>Caesars Resort Collection, LLC Annual Report for the fiscal year ended December 31, 2018</w:t>
        </w:r>
      </w:hyperlink>
    </w:p>
    <w:p>
      <w:pPr>
        <w:spacing w:after="0" w:line="63" w:lineRule="exact"/>
        <w:rPr>
          <w:rFonts w:ascii="Arial" w:cs="Arial" w:eastAsia="Arial" w:hAnsi="Arial"/>
          <w:sz w:val="16"/>
          <w:szCs w:val="16"/>
          <w:u w:val="single" w:color="auto"/>
          <w:color w:val="0000FF"/>
        </w:rPr>
      </w:pPr>
    </w:p>
    <w:p>
      <w:pPr>
        <w:ind w:left="540"/>
        <w:spacing w:after="0"/>
        <w:rPr>
          <w:rFonts w:ascii="Arial" w:cs="Arial" w:eastAsia="Arial" w:hAnsi="Arial"/>
          <w:sz w:val="16"/>
          <w:szCs w:val="16"/>
          <w:u w:val="single" w:color="auto"/>
          <w:color w:val="0000FF"/>
        </w:rPr>
      </w:pPr>
      <w:r>
        <w:rPr>
          <w:rFonts w:ascii="Arial" w:cs="Arial" w:eastAsia="Arial" w:hAnsi="Arial"/>
          <w:sz w:val="18"/>
          <w:szCs w:val="18"/>
          <w:color w:val="auto"/>
        </w:rPr>
        <w:t>99.2</w:t>
      </w:r>
      <w:hyperlink w:anchor="page79">
        <w:r>
          <w:rPr>
            <w:rFonts w:ascii="Arial" w:cs="Arial" w:eastAsia="Arial" w:hAnsi="Arial"/>
            <w:sz w:val="16"/>
            <w:szCs w:val="16"/>
            <w:u w:val="single" w:color="auto"/>
            <w:color w:val="0000FF"/>
          </w:rPr>
          <w:t>Code of Business Conduct and Ethics, February 1, 2018</w:t>
        </w:r>
      </w:hyperlink>
    </w:p>
    <w:p>
      <w:pPr>
        <w:spacing w:after="0" w:line="63" w:lineRule="exact"/>
        <w:rPr>
          <w:rFonts w:ascii="Arial" w:cs="Arial" w:eastAsia="Arial" w:hAnsi="Arial"/>
          <w:sz w:val="16"/>
          <w:szCs w:val="16"/>
          <w:u w:val="single" w:color="auto"/>
          <w:color w:val="0000FF"/>
        </w:rPr>
      </w:pPr>
    </w:p>
    <w:p>
      <w:pPr>
        <w:ind w:left="540"/>
        <w:spacing w:after="0"/>
        <w:rPr>
          <w:rFonts w:ascii="Arial" w:cs="Arial" w:eastAsia="Arial" w:hAnsi="Arial"/>
          <w:sz w:val="16"/>
          <w:szCs w:val="16"/>
          <w:u w:val="single" w:color="auto"/>
          <w:color w:val="0000FF"/>
        </w:rPr>
      </w:pPr>
      <w:r>
        <w:rPr>
          <w:rFonts w:ascii="Arial" w:cs="Arial" w:eastAsia="Arial" w:hAnsi="Arial"/>
          <w:sz w:val="18"/>
          <w:szCs w:val="18"/>
          <w:color w:val="auto"/>
        </w:rPr>
        <w:t>99.3</w:t>
      </w:r>
      <w:hyperlink w:anchor="page95">
        <w:r>
          <w:rPr>
            <w:rFonts w:ascii="Arial" w:cs="Arial" w:eastAsia="Arial" w:hAnsi="Arial"/>
            <w:sz w:val="16"/>
            <w:szCs w:val="16"/>
            <w:u w:val="single" w:color="auto"/>
            <w:color w:val="0000FF"/>
          </w:rPr>
          <w:t>Gaming Regulatory Overview of Caesars Entertainment Corporation</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CAESARS ENTERTAINMENT CORPORATION</w:t>
      </w:r>
    </w:p>
    <w:p>
      <w:pPr>
        <w:spacing w:after="0" w:line="387" w:lineRule="exact"/>
        <w:rPr>
          <w:sz w:val="20"/>
          <w:szCs w:val="20"/>
          <w:color w:val="auto"/>
        </w:rPr>
      </w:pPr>
    </w:p>
    <w:p>
      <w:pPr>
        <w:ind w:left="40"/>
        <w:spacing w:after="0"/>
        <w:tabs>
          <w:tab w:leader="none" w:pos="600" w:val="left"/>
          <w:tab w:leader="none" w:pos="5060" w:val="left"/>
          <w:tab w:leader="none" w:pos="8200" w:val="left"/>
        </w:tabs>
        <w:rPr>
          <w:sz w:val="20"/>
          <w:szCs w:val="20"/>
          <w:color w:val="auto"/>
        </w:rPr>
      </w:pPr>
      <w:r>
        <w:rPr>
          <w:rFonts w:ascii="Arial" w:cs="Arial" w:eastAsia="Arial" w:hAnsi="Arial"/>
          <w:sz w:val="18"/>
          <w:szCs w:val="18"/>
          <w:color w:val="auto"/>
        </w:rPr>
        <w:t>Date:</w:t>
        <w:tab/>
        <w:t>February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A. CAUSEY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Keith A. Causey</w:t>
      </w:r>
    </w:p>
    <w:p>
      <w:pPr>
        <w:spacing w:after="0" w:line="73"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Senior Vice President and Chief Accounting Officer</w:t>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36"/>
          <w:szCs w:val="36"/>
          <w:b w:val="1"/>
          <w:bCs w:val="1"/>
          <w:i w:val="1"/>
          <w:iCs w:val="1"/>
          <w:color w:val="auto"/>
        </w:rPr>
        <w:t>Caesars Resort Collection, LLC</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Annual Report For the Fiscal Year Ended December 31, 2018</w:t>
      </w:r>
    </w:p>
    <w:p>
      <w:pPr>
        <w:sectPr>
          <w:pgSz w:w="11900" w:h="16838" w:orient="portrait"/>
          <w:cols w:equalWidth="0" w:num="1">
            <w:col w:w="11420"/>
          </w:cols>
          <w:pgMar w:left="240" w:top="11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INDEXTO CONSOLIDATED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r>
      <w:tr>
        <w:trPr>
          <w:trHeight w:val="27"/>
        </w:trPr>
        <w:tc>
          <w:tcPr>
            <w:tcW w:w="10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10520" w:type="dxa"/>
            <w:vAlign w:val="bottom"/>
          </w:tcPr>
          <w:p>
            <w:pPr>
              <w:ind w:left="1180"/>
              <w:spacing w:after="0"/>
              <w:rPr>
                <w:rFonts w:ascii="Arial" w:cs="Arial" w:eastAsia="Arial" w:hAnsi="Arial"/>
                <w:sz w:val="18"/>
                <w:szCs w:val="18"/>
                <w:color w:val="0000EE"/>
              </w:rPr>
            </w:pPr>
            <w:hyperlink w:anchor="page6">
              <w:r>
                <w:rPr>
                  <w:rFonts w:ascii="Arial" w:cs="Arial" w:eastAsia="Arial" w:hAnsi="Arial"/>
                  <w:sz w:val="18"/>
                  <w:szCs w:val="18"/>
                  <w:color w:val="0000EE"/>
                </w:rPr>
                <w:t>Item 1 – Business</w:t>
              </w:r>
            </w:hyperlink>
          </w:p>
        </w:tc>
        <w:tc>
          <w:tcPr>
            <w:tcW w:w="900" w:type="dxa"/>
            <w:vAlign w:val="bottom"/>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10">
              <w:r>
                <w:rPr>
                  <w:rFonts w:ascii="Arial" w:cs="Arial" w:eastAsia="Arial" w:hAnsi="Arial"/>
                  <w:sz w:val="18"/>
                  <w:szCs w:val="18"/>
                  <w:color w:val="0000EE"/>
                </w:rPr>
                <w:t>Item 1A – Risk Factors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7</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30">
              <w:r>
                <w:rPr>
                  <w:rFonts w:ascii="Arial" w:cs="Arial" w:eastAsia="Arial" w:hAnsi="Arial"/>
                  <w:sz w:val="18"/>
                  <w:szCs w:val="18"/>
                  <w:color w:val="0000EE"/>
                </w:rPr>
                <w:t>Item 1B – Unresolved Staff Comments</w:t>
              </w:r>
            </w:hyperlink>
          </w:p>
        </w:tc>
        <w:tc>
          <w:tcPr>
            <w:tcW w:w="90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30">
              <w:r>
                <w:rPr>
                  <w:rFonts w:ascii="Arial" w:cs="Arial" w:eastAsia="Arial" w:hAnsi="Arial"/>
                  <w:sz w:val="18"/>
                  <w:szCs w:val="18"/>
                  <w:color w:val="0000EE"/>
                </w:rPr>
                <w:t>Item 2 – Properties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30">
              <w:r>
                <w:rPr>
                  <w:rFonts w:ascii="Arial" w:cs="Arial" w:eastAsia="Arial" w:hAnsi="Arial"/>
                  <w:sz w:val="18"/>
                  <w:szCs w:val="18"/>
                  <w:color w:val="0000EE"/>
                </w:rPr>
                <w:t>Item 3 – Legal Proceedings</w:t>
              </w:r>
            </w:hyperlink>
          </w:p>
        </w:tc>
        <w:tc>
          <w:tcPr>
            <w:tcW w:w="90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30">
              <w:r>
                <w:rPr>
                  <w:rFonts w:ascii="Arial" w:cs="Arial" w:eastAsia="Arial" w:hAnsi="Arial"/>
                  <w:sz w:val="18"/>
                  <w:szCs w:val="18"/>
                  <w:color w:val="0000EE"/>
                </w:rPr>
                <w:t>Item 4 – Mine Safety Disclosures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43"/>
        </w:trPr>
        <w:tc>
          <w:tcPr>
            <w:tcW w:w="10520" w:type="dxa"/>
            <w:vAlign w:val="bottom"/>
          </w:tcPr>
          <w:p>
            <w:pPr>
              <w:ind w:left="40"/>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900" w:type="dxa"/>
            <w:vAlign w:val="bottom"/>
          </w:tcPr>
          <w:p>
            <w:pPr>
              <w:spacing w:after="0"/>
              <w:rPr>
                <w:sz w:val="21"/>
                <w:szCs w:val="21"/>
                <w:color w:val="auto"/>
              </w:rPr>
            </w:pPr>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5 – Market for the Company’s Common Equity, Related Stockholder Matters and Issuer Purchases of Equity Securities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31">
              <w:r>
                <w:rPr>
                  <w:rFonts w:ascii="Arial" w:cs="Arial" w:eastAsia="Arial" w:hAnsi="Arial"/>
                  <w:sz w:val="18"/>
                  <w:szCs w:val="18"/>
                  <w:color w:val="0000EE"/>
                </w:rPr>
                <w:t>Item 6 – Selected Financial Data</w:t>
              </w:r>
            </w:hyperlink>
          </w:p>
        </w:tc>
        <w:tc>
          <w:tcPr>
            <w:tcW w:w="90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32">
              <w:r>
                <w:rPr>
                  <w:rFonts w:ascii="Arial" w:cs="Arial" w:eastAsia="Arial" w:hAnsi="Arial"/>
                  <w:sz w:val="18"/>
                  <w:szCs w:val="18"/>
                  <w:color w:val="0000EE"/>
                </w:rPr>
                <w:t>Item 7 – Management’s Discussion and Analysis of Financial Condition and Results of Operations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41">
              <w:r>
                <w:rPr>
                  <w:rFonts w:ascii="Arial" w:cs="Arial" w:eastAsia="Arial" w:hAnsi="Arial"/>
                  <w:sz w:val="18"/>
                  <w:szCs w:val="18"/>
                  <w:color w:val="0000EE"/>
                </w:rPr>
                <w:t>Item 7A – Quantitative and Qualitative Disclosures About Market Risk</w:t>
              </w:r>
            </w:hyperlink>
          </w:p>
        </w:tc>
        <w:tc>
          <w:tcPr>
            <w:tcW w:w="900" w:type="dxa"/>
            <w:vAlign w:val="bottom"/>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42">
              <w:r>
                <w:rPr>
                  <w:rFonts w:ascii="Arial" w:cs="Arial" w:eastAsia="Arial" w:hAnsi="Arial"/>
                  <w:sz w:val="18"/>
                  <w:szCs w:val="18"/>
                  <w:color w:val="0000EE"/>
                </w:rPr>
                <w:t>Item 8 – Financial Statements and Supplementary Data</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43"/>
        </w:trPr>
        <w:tc>
          <w:tcPr>
            <w:tcW w:w="10520" w:type="dxa"/>
            <w:vAlign w:val="bottom"/>
          </w:tcPr>
          <w:p>
            <w:pPr>
              <w:ind w:left="1420"/>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900" w:type="dxa"/>
            <w:vAlign w:val="bottom"/>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420"/>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Financial Statements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243"/>
        </w:trPr>
        <w:tc>
          <w:tcPr>
            <w:tcW w:w="10520" w:type="dxa"/>
            <w:vAlign w:val="bottom"/>
          </w:tcPr>
          <w:p>
            <w:pPr>
              <w:ind w:left="1420"/>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900" w:type="dxa"/>
            <w:vAlign w:val="bottom"/>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4">
              <w:r>
                <w:rPr>
                  <w:rFonts w:ascii="Arial" w:cs="Arial" w:eastAsia="Arial" w:hAnsi="Arial"/>
                  <w:sz w:val="18"/>
                  <w:szCs w:val="18"/>
                  <w:color w:val="0000EE"/>
                </w:rPr>
                <w:t>Item 9 – Changes in and Disagreements with Accountants on Accounting and Financial Disclosure</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74">
              <w:r>
                <w:rPr>
                  <w:rFonts w:ascii="Arial" w:cs="Arial" w:eastAsia="Arial" w:hAnsi="Arial"/>
                  <w:sz w:val="18"/>
                  <w:szCs w:val="18"/>
                  <w:color w:val="0000EE"/>
                </w:rPr>
                <w:t>Item 9A – Controls and Procedures</w:t>
              </w:r>
            </w:hyperlink>
          </w:p>
        </w:tc>
        <w:tc>
          <w:tcPr>
            <w:tcW w:w="900" w:type="dxa"/>
            <w:vAlign w:val="bottom"/>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4">
              <w:r>
                <w:rPr>
                  <w:rFonts w:ascii="Arial" w:cs="Arial" w:eastAsia="Arial" w:hAnsi="Arial"/>
                  <w:sz w:val="18"/>
                  <w:szCs w:val="18"/>
                  <w:color w:val="0000EE"/>
                </w:rPr>
                <w:t>Item 9B – Other Information</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r>
      <w:tr>
        <w:trPr>
          <w:trHeight w:val="243"/>
        </w:trPr>
        <w:tc>
          <w:tcPr>
            <w:tcW w:w="10520" w:type="dxa"/>
            <w:vAlign w:val="bottom"/>
          </w:tcPr>
          <w:p>
            <w:pPr>
              <w:ind w:left="40"/>
              <w:spacing w:after="0"/>
              <w:rPr>
                <w:rFonts w:ascii="Arial" w:cs="Arial" w:eastAsia="Arial" w:hAnsi="Arial"/>
                <w:sz w:val="18"/>
                <w:szCs w:val="18"/>
                <w:color w:val="0000EE"/>
              </w:rPr>
            </w:pPr>
            <w:hyperlink w:anchor="page75">
              <w:r>
                <w:rPr>
                  <w:rFonts w:ascii="Arial" w:cs="Arial" w:eastAsia="Arial" w:hAnsi="Arial"/>
                  <w:sz w:val="18"/>
                  <w:szCs w:val="18"/>
                  <w:color w:val="0000EE"/>
                </w:rPr>
                <w:t>Part III</w:t>
              </w:r>
            </w:hyperlink>
          </w:p>
        </w:tc>
        <w:tc>
          <w:tcPr>
            <w:tcW w:w="900" w:type="dxa"/>
            <w:vAlign w:val="bottom"/>
          </w:tcPr>
          <w:p>
            <w:pPr>
              <w:spacing w:after="0"/>
              <w:rPr>
                <w:sz w:val="21"/>
                <w:szCs w:val="21"/>
                <w:color w:val="auto"/>
              </w:rPr>
            </w:pPr>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5">
              <w:r>
                <w:rPr>
                  <w:rFonts w:ascii="Arial" w:cs="Arial" w:eastAsia="Arial" w:hAnsi="Arial"/>
                  <w:sz w:val="18"/>
                  <w:szCs w:val="18"/>
                  <w:color w:val="0000EE"/>
                </w:rPr>
                <w:t>Item 10 – Directors, Executive Officers and Corporate Governance</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75">
              <w:r>
                <w:rPr>
                  <w:rFonts w:ascii="Arial" w:cs="Arial" w:eastAsia="Arial" w:hAnsi="Arial"/>
                  <w:sz w:val="18"/>
                  <w:szCs w:val="18"/>
                  <w:color w:val="0000EE"/>
                </w:rPr>
                <w:t>Item 11 – Executive Compensation</w:t>
              </w:r>
            </w:hyperlink>
          </w:p>
        </w:tc>
        <w:tc>
          <w:tcPr>
            <w:tcW w:w="900" w:type="dxa"/>
            <w:vAlign w:val="bottom"/>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5">
              <w:r>
                <w:rPr>
                  <w:rFonts w:ascii="Arial" w:cs="Arial" w:eastAsia="Arial" w:hAnsi="Arial"/>
                  <w:sz w:val="18"/>
                  <w:szCs w:val="18"/>
                  <w:color w:val="0000EE"/>
                </w:rPr>
                <w:t>Item 12 – Security Ownership of Certain Beneficial Owners and Management and Related Stockholder Matters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75">
              <w:r>
                <w:rPr>
                  <w:rFonts w:ascii="Arial" w:cs="Arial" w:eastAsia="Arial" w:hAnsi="Arial"/>
                  <w:sz w:val="18"/>
                  <w:szCs w:val="18"/>
                  <w:color w:val="0000EE"/>
                </w:rPr>
                <w:t>Item 13 – Certain Relationships and Related Transactions, and Director Independence</w:t>
              </w:r>
            </w:hyperlink>
          </w:p>
        </w:tc>
        <w:tc>
          <w:tcPr>
            <w:tcW w:w="900" w:type="dxa"/>
            <w:vAlign w:val="bottom"/>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5">
              <w:r>
                <w:rPr>
                  <w:rFonts w:ascii="Arial" w:cs="Arial" w:eastAsia="Arial" w:hAnsi="Arial"/>
                  <w:sz w:val="18"/>
                  <w:szCs w:val="18"/>
                  <w:color w:val="0000EE"/>
                </w:rPr>
                <w:t>Item 14 – Principal Accounting Fees and Services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r>
      <w:tr>
        <w:trPr>
          <w:trHeight w:val="243"/>
        </w:trPr>
        <w:tc>
          <w:tcPr>
            <w:tcW w:w="10520" w:type="dxa"/>
            <w:vAlign w:val="bottom"/>
          </w:tcPr>
          <w:p>
            <w:pPr>
              <w:ind w:left="40"/>
              <w:spacing w:after="0"/>
              <w:rPr>
                <w:rFonts w:ascii="Arial" w:cs="Arial" w:eastAsia="Arial" w:hAnsi="Arial"/>
                <w:sz w:val="18"/>
                <w:szCs w:val="18"/>
                <w:color w:val="0000EE"/>
              </w:rPr>
            </w:pPr>
            <w:hyperlink w:anchor="page76">
              <w:r>
                <w:rPr>
                  <w:rFonts w:ascii="Arial" w:cs="Arial" w:eastAsia="Arial" w:hAnsi="Arial"/>
                  <w:sz w:val="18"/>
                  <w:szCs w:val="18"/>
                  <w:color w:val="0000EE"/>
                </w:rPr>
                <w:t>Part IV</w:t>
              </w:r>
            </w:hyperlink>
          </w:p>
        </w:tc>
        <w:tc>
          <w:tcPr>
            <w:tcW w:w="900" w:type="dxa"/>
            <w:vAlign w:val="bottom"/>
          </w:tcPr>
          <w:p>
            <w:pPr>
              <w:spacing w:after="0"/>
              <w:rPr>
                <w:sz w:val="21"/>
                <w:szCs w:val="21"/>
                <w:color w:val="auto"/>
              </w:rPr>
            </w:pPr>
          </w:p>
        </w:tc>
      </w:tr>
      <w:tr>
        <w:trPr>
          <w:trHeight w:val="27"/>
        </w:trPr>
        <w:tc>
          <w:tcPr>
            <w:tcW w:w="10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1180"/>
              <w:spacing w:after="0"/>
              <w:rPr>
                <w:rFonts w:ascii="Arial" w:cs="Arial" w:eastAsia="Arial" w:hAnsi="Arial"/>
                <w:sz w:val="18"/>
                <w:szCs w:val="18"/>
                <w:color w:val="0000EE"/>
              </w:rPr>
            </w:pPr>
            <w:hyperlink w:anchor="page76">
              <w:r>
                <w:rPr>
                  <w:rFonts w:ascii="Arial" w:cs="Arial" w:eastAsia="Arial" w:hAnsi="Arial"/>
                  <w:sz w:val="18"/>
                  <w:szCs w:val="18"/>
                  <w:color w:val="0000EE"/>
                </w:rPr>
                <w:t>Item 15 – Exhibits, Financial Statement Schedules</w:t>
              </w:r>
            </w:hyperlink>
          </w:p>
        </w:tc>
        <w:tc>
          <w:tcPr>
            <w:tcW w:w="9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r>
      <w:tr>
        <w:trPr>
          <w:trHeight w:val="243"/>
        </w:trPr>
        <w:tc>
          <w:tcPr>
            <w:tcW w:w="10520" w:type="dxa"/>
            <w:vAlign w:val="bottom"/>
          </w:tcPr>
          <w:p>
            <w:pPr>
              <w:ind w:left="1180"/>
              <w:spacing w:after="0"/>
              <w:rPr>
                <w:rFonts w:ascii="Arial" w:cs="Arial" w:eastAsia="Arial" w:hAnsi="Arial"/>
                <w:sz w:val="18"/>
                <w:szCs w:val="18"/>
                <w:color w:val="0000EE"/>
              </w:rPr>
            </w:pPr>
            <w:hyperlink w:anchor="page78">
              <w:r>
                <w:rPr>
                  <w:rFonts w:ascii="Arial" w:cs="Arial" w:eastAsia="Arial" w:hAnsi="Arial"/>
                  <w:sz w:val="18"/>
                  <w:szCs w:val="18"/>
                  <w:color w:val="0000EE"/>
                </w:rPr>
                <w:t>Item 16 – Form 10-K Summary</w:t>
              </w:r>
            </w:hyperlink>
          </w:p>
        </w:tc>
        <w:tc>
          <w:tcPr>
            <w:tcW w:w="900" w:type="dxa"/>
            <w:vAlign w:val="bottom"/>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75</w:t>
              </w:r>
            </w:hyperlink>
          </w:p>
        </w:tc>
      </w:tr>
      <w:tr>
        <w:trPr>
          <w:trHeight w:val="486"/>
        </w:trPr>
        <w:tc>
          <w:tcPr>
            <w:tcW w:w="10520" w:type="dxa"/>
            <w:vAlign w:val="bottom"/>
          </w:tcPr>
          <w:p>
            <w:pPr>
              <w:ind w:left="56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rFonts w:ascii="Arial" w:cs="Arial" w:eastAsia="Arial" w:hAnsi="Arial"/>
          <w:sz w:val="22"/>
          <w:szCs w:val="22"/>
          <w:b w:val="1"/>
          <w:bCs w:val="1"/>
          <w:color w:val="BF2115"/>
        </w:rPr>
      </w:pPr>
      <w:hyperlink w:anchor="page6">
        <w:r>
          <w:rPr>
            <w:rFonts w:ascii="Arial" w:cs="Arial" w:eastAsia="Arial" w:hAnsi="Arial"/>
            <w:sz w:val="22"/>
            <w:szCs w:val="22"/>
            <w:b w:val="1"/>
            <w:bCs w:val="1"/>
            <w:color w:val="BF2115"/>
          </w:rPr>
          <w:t>PART I</w:t>
        </w:r>
      </w:hyperlink>
    </w:p>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 this report, the name “CRC LLC” refers to the parent holding company, Caesars Resort Collection, LLC, exclusive of its consolidated subsidiaries and variable interest entities, unless otherwise stated or the context otherwise requires. The words “CRC,” “Company,” “we,” “our,” and “us” refer to Caesars Resort Collection, LLC, inclusive of its consolidated subsidiaries and variable interest entities, unless otherwise stated or the context otherwise requires.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Comprehensive Income/(Loss)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CRC LLC is a Delaware limited liability company and wholly owned by Caesars Entertainment Corporation (“CEC,” “Caesars,” and “Caesars Entertainment”).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CRC’s casino properties operate under well-known brands and include Bally’s Las Vegas, The Cromwell, Flamingo Las Vegas, Harrah’s Atlantic City, Harrah’s Las Vegas, Harrah’s Laughlin, Harrah’s New Orleans, Hoosier Park, Indiana Grand, The LINQ Hotel &amp; Casino, Paris Las Vegas, Planet Hollywood Resort &amp; Casino (“Planet Hollywood”), and Rio All-Suites Hotel &amp; Casino (“Rio Las Vegas”). CRC leases Harrah’s Las Vegas from VICI Properties Inc. and/or its subsidiaries (collectively, “VICI”), the real estate investment trust that holds certain real property assets formerly held by Caesars Entertainment Operating Company, Inc. (“CEOC”). CRC also owns The LINQ Promenade.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Centaur Holdings, LLC</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16, 2018, we completed the acquisition of Centaur Holdings, LLC (“Centaur”). Centaur operated Hoosier Park Racing &amp; Casino in Anderson, Indiana, and Indiana Grand Racing &amp; Casino in Shelbyville, Indiana. See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Octavius Tower at Caesars Palace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2018, we sold Octavius Tower at Caesars Palace (“Octavius Tower”) to VICI for $508 million in cash. The sale was contingent on CEC completing the sale of the land and real property improvements used in the operation of Harrah’s Philadelphia Casino and Racetrack (“Harrah’s Philadelphia”) to VICI and modifying certain existing lease agreements with VICI. On December 26, 2018, the sale of Harrah’s Philadelphia was completed and modifications to certain of our existing lease agreements with VICI were consummated. As a result, on December 26, 2018, we derecognized the Octavius Tower real estate assets and financing obligation and recognized a gain on sale of $271 million. Proceeds from the transaction were used to partially fund the closing of CRC’s acquisition of Centaur.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Transaction and Significant Event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Entertainment CEO Transition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2018, Caesars Entertainment announced the departure of its President and Chief Executive Officer, Mark P. Frissora. Subject to the terms of the separation agreement entered into between Caesars Entertainment and Mr. Frissora (as amended, the “Separation Agreement”), Mr. Frissora will continue as President and Chief Executive Officer until a termination date of April 30, 2019 (which Caesars Entertainment may extend by one month) for purposes of continuity of leadership as Caesars Entertainment searches for a successor to Mr. Frissora with the nationally recognized third-party search firm engaged for that purpose.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Merger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CRC, a wholly owned subsidiary of CEC, was created on December 22, 2017, with the merger of Caesars Entertainment Resort Properties, LLC (“CERP”) into Caesars Growth Properties Holdings, LLC (“CGPH”) (the “CRC Merger”).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Business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view each property as an operating segment and aggregate such properties into one reportable segment. Our business is composed of four distinct, but complementary businesses that reinforce, cross-promote, and build upon each other: casino entertainment, food and beverage, rooms and hotel, and entertainment and other business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Casino Entertainment Operations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casino entertainment operations generate revenues from over 15,000 slot machines and over 1,000 table games, as well as other games such as keno, poker, and race and sports books, all of which comprised approximately 40% of our total net revenues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Food and Beverage Operations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food and beverage operations generate revenues from over 70 buffets, restaurants, bars, nightclubs, and lounges located throughout our casinos, as well as banquets and room service, and represented approximately 21% of our total net revenues in 2018. Many of our properties include several dining options, ranging from upscale dining experiences to moderately-priced restaurants and buffets.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Rooms and Hotel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Rooms and hotel operations generate revenues from hotel stays at our properties in our approximately 23,700 guest rooms and suites and represented approximately 25% of our total net revenues in 2018.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engaged in large capital reinvestment projects in recent years focusing primarily on our room product across the United States, including renovating over 10,000 rooms in Las Vegas since 2015, at properties such as Planet Hollywood, Flamingo Las Vegas, Bally’s Las Vegas, Harrah’s Las Vegas and Paris Las Vegas. In addition, we continue to roll out self-check-in kiosks in order to help reduce customer wait times and improve labor efficiencies.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and Other Business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a variety of retail and entertainment offerings at our properties. Zappos Theater at Planet Hollywood was ranked among the top theater venues in the United States in 2018 based on ticket sales. This award winning theater hosts several prominent headliners, such as the Backstreet Boys and Gwen Stefani.</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LINQ Promenade and our retail stores offer guests a wide range of options from high-end brands and accessories to souvenirs and decorative items. The LINQ Promenade is an open-air dining, entertainment, and retail development located between The LINQ Hotel &amp; Casino and Flamingo Las Vegas, and it features The High Roller, a 550-foot observation wheel. On November 9, 2018, we opened Fly LINQ, the first and only zipline on the Las Vegas Strip.</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16, 2018, we broke ground on CAESARS FORUM, a 550,000 square-foot conference center located at the center of the Las Vegas Strip. Scheduled to officially open in 2020, CAESARS FORUM will feature 300,000 square feet of flexible meeting space, the two largest pillarless ballrooms in the world, and FORUM Plaza, the first 100,000 square-foot outdoor meeting and event space in Las Vegas.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CRC consolidates Caesars Enterprise Services, LLC (“CES”), a services joint venture, as a variable interest entity (“VIE”) as of December 22, 2017. CRC and CEOC, LLC (“CEOC LLC” and, together with CRC, the “Members”) and certain of their affiliates are granted certain intellectual property licenses in connection with an Omnibus License and Enterprise Services Agreement (the “Omnibus Agreement”), as amended, with Caesars License Company, LLC (“CLC”), Caesars World LLC (formerly Caesars World, Inc.) and CES. CES also provides certain corporate, administrative and management services for the Members’ properties and properties owned by unrelated third parties and manages certain enterprise assets and the other assets it owns, licenses or controls, and employs certain of the corresponding employees. See Note 1 for further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Las Vegas properties are all strategically located in the heart of the Las Vegas market, with seven properties (Bally’s Las Vegas, The Cromwell, Flamingo Las Vegas, Harrah’s Las Vegas, The LINQ Hotel &amp; Casino, Paris Las Vegas and Planet Hollywood) located at the center of the Las Vegas Strip near or adjacent to The LINQ Promenade. We expect our nearby Las Vegas Strip properties will benefit from the investments in, and the visitation to, these properties. Further, all of our Las Vegas properties benefit from their prime location in the attractive Las Vegas market and from their close proximity to other Caesars-affiliated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properties, with which they share certain services and costs. We believe that operating multiple properties in the center of the Las Vegas Strip generates greater revenues and enables us to capture more of our customers’ gaming dollars than in markets where we have single properties competing individually against outside competition.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30, 2019, Caesars announced the rebranding of Total Rewards, the Company’s industry-leading loyalty program, to Caesars Rewards effective February 1, 2019. The new program leverages the premium Caesars brand to better connect Caesars’ elevated standard and prestige with the Company’s global destinations.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properties participate in Caesars Entertainment’s Caesars Rewards customer loyalty program. Participating in Caesars Rewards, enables us to capture a larger share of our customers’ entertainment spending and compete more effectively.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Members who have joined Caesars Rewards can earn Reward Credits for qualifying gaming activity and qualifying hotel, dining and retail spending at all Caesars-affiliated properties in the United States, Canada, the United Kingdom, and now Dubai. Members can also earn additional Reward Credits when they use their Caesars Rewards VISA credit card or make a purchase through a Caesars Rewards partner. Members can redeem their earned Reward Credits with Caesars for hotel amenities, casino free play and other items such as merchandise, gift cards, and travel.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Caesars Rewards is structured in tiers (designated as Gold, Platinum, Diamond or Seven Stars), each with increasing member benefits and privileges. Members are provided promotional offers based on their Tier Level, their engagement with Caesars-affiliated properties, aspects of their casino gaming play, and their preferred spending choices outside of gaming. Member information is also used in connection with various marketing promotions, including campaigns involving direct mail, email, our websites, mobile devices, social media, and interactive slot machines.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PHW Las Vegas, LLC is party to a licensing agreement with Planet Hollywood Resorts International, LLC and Planet Hollywood Memorabilia, Inc. (together, the “PH Licensors”), which are affiliates of Robert Earl, the original founder of the Planet Hollywood brand. The licensing agreement grants to PHWLV, LLC rights to use certain trademarks, domain names and intellectual property and to display and exhibit certain memorabilia owned by the PH Licensors. The initial term of the agreement runs through 2045 and the parties may by mutual agreement extend the term for two successive terms of ten years each. The license agreement was assigned by PHW Las Vegas, LLC to PHWLV, LLC in 2013, and Planet Hollywood Resorts International, LLC assigned the license agreement to PHRC License, LLC in 2014.</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Omnibus Agreement, CES grants to the properties owned, controlled or managed by its members, and their respective affiliates, non-exclusive licenses to all system-wide intellectual property used or contemplated to be used in connection with such properties. In addition, CES grants to the Harrah’s New Orleans and Bally’s Las Vegas managed facilities, an exclusive (subject to geographic restrictions) license in and to the “Harrah’s” and “Bally’s” names. CES grants to CEOC LLC, CRC and the properties owned or controlled by the members, including us, licenses to any intellectual property that CES develops or acquires in the future that is not a derivative of the intellectual property licensed to it. CES also grants to CRC and its subsidiaries a non-exclusive license to intellectual property specific to the properties controlled by CRC and its subsidiaries. CRC is further granted rights to use the Caesars trademark for corporate identification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casino entertainment business is highly competitive. The industry is comprised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In Las Vegas, our largest jurisdiction, competition has increased significantly. For example, the Genting Group is developing a casino and hotel called Resorts World Las Vegas, and Marriott International and New York-based global real estate firm Witkoff are developing a casino and hotel called The Drew Las Vegas. Both are expected to open in 2020 on the northern end of the Las Vegas Strip. In response to changing trends, Las Vegas operators have been focused on expanding their non-gaming offerings, including upgrades to hotel rooms, new food and beverage offerings, and new entertainment offerings. In May 2018, MGM rebranded the Monte Carlo Hotel and Casino as Park MGM, which underwent non-gaming renovations focused on room, food and beverage, and entertainment enhancements. There have also been proposals for other large scale non-gaming development projects in Las Vegas by various other developers. Our Las Vegas Strip hotels and casinos also compete, in part, with each other.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many casino operators, including us, have been reinvesting in existing facilities, developing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typically grown at a faster pace than demand in some areas. The expansion of properties and entertainment venues into new jurisdictions also presents competitive issues. Atlantic City, in particular, has seen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a significant decline primarily due to the addition of gaming and room capacity associated with the expansion of gaming in Maryland, New York, and Pennsylvania. This has resulted in several casino closings in recent years. In addition, Hard Rock Hotel Atlantic City and Ocean Resort Casino were introduced into the Atlantic City market in 2018, causing increased competition in the market.</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addition, certain states have legalized, and others may legalize, casino gaming in specific areas, including metropolitan areas from which we traditionally attract customers.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with other non-gaming resorts and vacation areas, various other entertainment businesses, and other forms of gaming, such as state lotteries, on-and off-track wagering, video lottery terminals, and card parlors. Our non-gaming offerings also compete with other retail facilities, amusement attractions, food and beverage offerings, and entertainment venues. While we do not believe it to be the case, some have suggested that internet gaming could also create additional competition for us and could adversely affect our brick-and-mortar operations. We believe that internet gaming complements brick-and-mortar operations.</w:t>
      </w:r>
    </w:p>
    <w:p>
      <w:pPr>
        <w:spacing w:after="0" w:line="134"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See Item 7, “Management’s Discussion and Analysis of Financial Condition and Results of Operations,” for a summary of key developments. </w:t>
      </w:r>
      <w:r>
        <w:rPr>
          <w:rFonts w:ascii="Arial" w:cs="Arial" w:eastAsia="Arial" w:hAnsi="Arial"/>
          <w:sz w:val="18"/>
          <w:szCs w:val="18"/>
          <w:b w:val="1"/>
          <w:bCs w:val="1"/>
          <w:i w:val="1"/>
          <w:iCs w:val="1"/>
          <w:color w:val="auto"/>
        </w:rPr>
        <w:t>Seasonality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business at our regional properties outside of Las Vegas is subject to seasonality, including seasonality based on the weather in the markets in which they operate and the travel habits of visitors. Business in our properties can also fluctuate due to specific holidays or other significant events, such as Easter (particularly when the holiday falls in a different quarter than the prior year), the World Series of Poker tournament (with respect to our Las Vegas properties), city-wide conventions, a large sporting event or a concert, or visits by our premium players. We also believe that any seasonality, holiday, or other significant event may affect our various properties or regions differently.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Regulation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gaming industry is highly regulated, and we must maintain our licenses and pay gaming taxes to continue our operations. Each of our casinos is subject to extensive regulation under the laws, rules, and regulations of the jurisdiction in which it is located. These laws, rules, and regulations generally concern the responsibility, financial stability, and character of the owners, managers, and persons with financial interests in the gaming operations. Violations of laws in one jurisdiction could result in disciplinary action in other jurisdictions.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smoking, environmental matters, employees, currency transactions, taxation, zoning and building codes, construction, land use, and marketing and advertising. 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Item 1A, “Risk Factors,” for additional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Relations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approximately 31,000 employees primarily located in Nevada, New Jersey and Louisiana, including those employed by CES. For Harrah’s New Orleans, the employee number does not include certain employees, such as part-time or on-call employees, that are included in the minimum number of people that we must employ at Harrah’s New Orleans pursuant to state and local laws and regulations.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16,000 of our employees are covered by collective bargaining agreements. We currently have 29 collective bargaining agreements covering various employees in Las Vegas expiring in 2019. Four unions represent the employees covered by 28 of those expiring agreements. All agreements are subject to automatic extension unless one party gives 30 days’ prior notice of intent to terminate. No such notice has been given. The Company intends to negotiate renewal agreements for all collective bargaining agreements expiring.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BF2115"/>
        </w:rPr>
        <w:t>ITEM 1A.Risk Factors</w:t>
      </w:r>
    </w:p>
    <w:p>
      <w:pPr>
        <w:spacing w:after="0" w:line="16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any or all of our anticipated value creation opportunities, which would have a negative effect on our results of operations.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enterprise-wide strategy, we have implemented a program of continuous improvement designed to identify value creation opportunities to improve operations and results, including without limitation through identifying opportunities to improve profitability by reducing costs. Any cost savings or other value creation that we ultimately realize from such efforts may differ materially from originally anticipated amounts or be offset by other unanticipated developments. These plans are subject to numerous risks and uncertainties that may change at any time. We cannot assure you that cost savings or other value creation initiatives will be completed as anticipated or that the benefits we expect will be achieved on a timely basis or at all.</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or may become involved in legal proceedings that, if adversely adjudicated or settled, could have a material adverse effect on our business, financial condition, results of operations, and prospects.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a defendant in various lawsuits or other legal proceedings relating to matters incidental to our business. Some of these matters involve commercial or contractual disputes, intellectual property claims, legal compliance, personal injury claims and employment claims. As with all legal proceedings, no assurance can be provided as to the outcome of these matters and, in general, legal proceedings can be expensive and time consuming. We may not be successful in the defense or prosecution of these lawsuits, which could result in settlements or damages that could significantly impact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an area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assess and monitor the security of collection, storage and transmission of customer information on an ongoing basis. We utilize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have taken steps designed to safeguard our customers’ confidential personal information and important internal company data, our network and other systems and those of third parties, such as service providers, could be compromised, damaged, or disrupted by a third 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Our third-party information system service providers face risks relating to cybersecurity similar to ours, and we do not directly control any of such parties’ information security operations. Advances in computer and software capabilities, encryption technology, new tools and other developments may increase the risk of a security breach. As a result of any security breach, customer information or other proprietary data may be accessed or transmitted by or to a third party. Despite the measures we have implemented to safeguard our information, there can be no assurance that we are adequately protecting our information.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loss, disclosure or misappropriation of, or access to, customers’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damage our reputation and expose us to claims from customers, financial institutions, regulators, payment card associations, employees and other persons, any of which could have an adverse effect on our financial condition, results of operations and cash flow.</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cybersecurity insurance to respond to a breach which is designed to cover expenses around notification, credit monitoring, investigation, crisis management, public relations and legal advice. We also carry other insurance which may cover ancillary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aspects of the event. However, damage and claims arising from a breach may not be completely covered or may exceed the amount of any insurance available.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significantly on our computer systems and software to receive and properly process internal and external data, including data related to Caesars Rewards. A disruption or corruption of the proper functioning of our computer systems or software could cause us to lose data or record erroneous data,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as a result of our evaluation of our portfolio of businesses. Such sales or divestitures could affect our costs, revenues, profitability and financial position.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evaluate our properties and our portfolio of businesses and may, as a result, sell or attempt to sell, divest or spin-off different properties or assets (subject to any restrictions in the agreements governing our indebtedness and leases). These sales or divestitures affect our costs, revenues, profitability, financial position, liquidity and our ability to comply with our debt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and relatively illiquid real estate markets may result in fewer potential bidders and unsuccessful sales efforts. Expected costs savings, which are offset by revenue losses from divested properties, may also be difficult to achieve or maximize due to our fixed cost structure.</w:t>
      </w:r>
    </w:p>
    <w:p>
      <w:pPr>
        <w:spacing w:after="0" w:line="12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Reduction in discretionary consumer spending resulting from a downturn in the national economy, the volatility and disruption of the capital and credit markets, adverse changes in the global economy and other factors could negatively impact our financial performance and our ability to access financing.</w:t>
      </w:r>
    </w:p>
    <w:p>
      <w:pPr>
        <w:spacing w:after="0" w:line="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discretionary consumer spending or consumer preferences are driven by factors beyond our control, such as perceived or actual general economic conditions; high energy, fuel and other commodity costs; the cost of travel; the potential for bank failures; a soft job market; an actual or perceived decrease in disposable consumer income and wealth; increases in payroll taxes; increases in gaming taxes or fees; fears of recession and changes in consumer confidence in the economy; and terrorist attacks or other global events. Our business is susceptible to any such changes because our properties offer a highly-discretionary set of entertainment and leisure activities and amenities. Gaming and other leisure activities we offer represent discretionary expenditures and participation in such activities may decline if discretionary consumer spending declines, including during economic downturns, during which consumers generally earn less disposable income. Particularly, we have business concentrations in gaming offerings and in Las Vegas, which are sensitive to declines in discretionary consumer spending and changes in consumer preferences. During periods of economic contraction, our revenues may decrease while most of our costs remain fixed and some costs even increase, resulting in decreased earnings.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 to grow our business may be unsuccessful, which could have an adverse effect on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part on our ability to grow our business. In addition to increasing our revenues from operations, we plan to grow our business through</w:t>
      </w:r>
    </w:p>
    <w:p>
      <w:pPr>
        <w:spacing w:after="0" w:line="46"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real estate development domestically and internationally, (ii) traditional mergers and acquisitions, (iii) expanding our Caesars Rewards partnerships, and</w:t>
      </w:r>
    </w:p>
    <w:p>
      <w:pPr>
        <w:spacing w:after="0" w:line="32" w:lineRule="exact"/>
        <w:rPr>
          <w:rFonts w:ascii="Arial" w:cs="Arial" w:eastAsia="Arial" w:hAnsi="Arial"/>
          <w:sz w:val="16"/>
          <w:szCs w:val="16"/>
          <w:color w:val="auto"/>
        </w:rPr>
      </w:pPr>
    </w:p>
    <w:p>
      <w:pPr>
        <w:jc w:val="both"/>
        <w:ind w:firstLine="8"/>
        <w:spacing w:after="0" w:line="268"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pursuing licensing and management agreements to utilize our brands on third party-owned properties. Our ability to execute on our growth strategy is dependent upon, among other things, our ability to finance development projects and to obtain all necessary zoning, land-use, building, occupancy and other governmental permits and authorizations, and upon risks inherent in acquisitions including the ability to finance acquisitions, the ability to integrate acquisitions, the ability to realize anticipated benefits of the acquisitions and the diversion of management’s attention from Company resources. In addition, we may be unsuccessful in identifying acceptable third parties for Caesars Rewards and for licensing and managing properties. As a result, we may not be able to realize the growth we expect from our strategies, which could have an adverse effect on our results of operations. Moreover, even if our growth strategy is successful, we may not realize the benefit we expect from our growth strategy on a timely basis or at all, which could have an adverse effect on our business, financial condition, results of operations and cash flow.</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regulation and taxation policies, the enforcement of which could adversely impact our business, financial condition and results of operations.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extensive gaming regulations and political and regulatory uncertainty. Regulatory authorities in the jurisdictions where we operate have broad powers with respect to the licensing of casino operations and may revoke, suspend, condition,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limit our gaming or other licenses, impose substantial fines and take other actions, any one of which could adversely impact our business, financial condition, and results of operations. Furthermore, in many jurisdictions where we operate, licenses are granted for limited durations and require renewal from time to time. There can be no assurance that continued gaming activity will be approved in any referendum in the future. If we do not obtain the requisite approval in any future referendum, we will not be able to operate our gaming operations in the affected jurisdiction, which would negatively impact our future performance.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individual jurisdictions have also considered legislation or referendums, such as bans on smoking in casinos and other entertainment and dining facilities, which could adversely impact our operations. These smoking bans have adversely affected revenues and operating results at our properties. The likelihood or outcome of similar legislation in other jurisdictions and referendums in the future cannot be predicted, though any smoking ban would be expected to negatively impact our financial performance.</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Furthermore, because we are subject to regulation in each jurisdiction in which we operate, and because regulatory agencies within each jurisdiction review our compliance with gaming laws in other jurisdictions, it is possible that gaming compliance issues in one jurisdiction may lead to reviews and compliance issues in other jurisdictions.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violation of the Bank Secrecy Act or other similar anti-money laundering laws and regulations could have a negative impact on us.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(“AML”) regulations. In recent years, governmental authorities have been increasingly focused on AML policies and procedures, with a particular focus on the gaming industry. Any violation of AML or regulations by any of our resorts could have a negative effect on our results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debtholders may be subject to extensive governmental regulation and if a debtholder is found unsuitable by the gaming authority, that debtholder would not be able to beneficially own any interests in our Company directly or indirectly.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jurisdictions, any of our interest holders or holders of our debt securities, including the Notes, may be required to file an application, be investigated, and qualify or have his, her or its suitability determined by gaming authorities. Gaming authorities have very broad discretion in determining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example, under Nevada gaming laws, each person who acquires, directly or indirectly, beneficial ownership of any voting security, or beneficial or record ownership of any non-voting security or any debt security, in a public corporation which is registered with the Nevada Gaming Commission (the “Gaming Commission”) may be required to be found suitable if the Gaming Commission has reason to believe that his or her acquisition of that ownership, or his or her continued ownership in general, would be inconsistent with the declared public policy of Nevada, in the sole discretion of the Gaming Commission. Any person required by the Gaming Commission to be found suitable must apply for a finding of suitability within 30 days after the Gaming Commission’s request that he or she should do so and, together with his or her application for suitability, deposit with the Nevada Gaming Control Board (“NGCB”) a sum of money which, in the sole discretion of the NGCB, will be adequate to pay the anticipated costs and charges incurred in the investigation and processing of that application for suitability, and deposit such additional sums as are required by the NGCB to pay final costs and charges.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any person required by a gaming authority to be found suitable, who is found unsuitable by the gaming authority, may not hold directly or indirectly the beneficial ownership of any voting security or the beneficial or record ownership of any nonvoting security or any debt security of any public corporation which is registered with the gaming authority beyond the time prescribed by the gaming authority. A violation of the foregoing may constitute a criminal offense. A finding of unsuitability by a particular gaming authority impacts that person’s ability to associate or affiliate with gaming licensees in that particular jurisdiction and could impact the person’s ability to associate or affiliate with gaming licensees in other jurisdictions.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jurisdictions also require any person who acquires beneficial ownership of more than a certain percentage of voting securities of a gaming company and, in some jurisdictions, non-voting securities, typically 5%, to report the acquisition to gaming authorities, and gaming authorities may require such holders to apply for qualification or a finding of suitability, subject to limited exceptions for “institutional investors” that hold a company’s voting securities for investment purposes only. Under Maryland gaming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12" w:name="page13"/>
    <w:bookmarkEnd w:id="12"/>
    <w:p>
      <w:pPr>
        <w:jc w:val="both"/>
        <w:ind w:right="20"/>
        <w:spacing w:after="0" w:line="308" w:lineRule="auto"/>
        <w:rPr>
          <w:sz w:val="20"/>
          <w:szCs w:val="20"/>
          <w:color w:val="auto"/>
        </w:rPr>
      </w:pPr>
      <w:r>
        <w:rPr>
          <w:rFonts w:ascii="Arial" w:cs="Arial" w:eastAsia="Arial" w:hAnsi="Arial"/>
          <w:sz w:val="17"/>
          <w:szCs w:val="17"/>
          <w:color w:val="auto"/>
        </w:rPr>
        <w:t>we may not sell or otherwise transfer more than 5% of the legal or beneficial interest in Horseshoe Baltimore without the approval of the Maryland Lottery and Gaming Control Commission, if it determines that the transferee is qualified or grants the transferee an institutional investor waiver.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jurisdictions may also limit the number of gaming licenses in which a person may hold an ownership or a controlling interest. In Indiana, for example, a person may not have an ownership interest in more than two Indiana riverboat owner’s licenses, and in Maryland an individual or business entity may not own an interest in more than one video lottery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compete against our competitors, our profits will decline.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gaming industry is highly competitive and our competitors vary considerably in size, quality of facilities, number of operations, brand identities, marketing and growth strategies, financial strength and capabilities, and geographic diversity. We also compete with other non-gaming resorts and vacation areas, and with various other entertainment businesses. Our competitors in each region in which we participate may have greater financial, marketing, or other resources than we do, and there can be no assurance that they will not engage in aggressive pricing action to compete with us. Although we believe we are currently able to compete effectively in each of the various regions in which we participate, we cannot ensure that we will be able to continue to do so or that we will be capable of maintaining or further increasing our current market share. Our failure to compete successfully in our various regions could adversely affect our business, financial condition, results of operations, and cash flow.</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recent years, many casino operators, including us, have been reinvesting in existing jurisdictions to attract new customers or to gain market share, thereby increasing competition in those jurisdictions. As companies have completed new expansion projects, supply has typically grown at a faster pace than demand in some areas. In Las Vegas, our largest jurisdiction, competition has increased significantly. For example, the Genting Group is developing a casino and hotel called Resorts World Las Vegas, and Marriott International and New York-based global real estate firm Witkoff are developing a casino and hotel called The Drew Las Vegas. Both are expected to open in 2020 on the northern end of the Las Vegas Strip. In response to changing trends, Las Vegas operators have been focused on expanding their non-gaming offerings, including upgrades to hotel rooms, new food and beverage offerings, and new entertainment offerings. In May 2018, MGM rebranded the Monte Carlo Hotel and Casino as Park MGM, which underwent non-gaming renovations focused on room, food and beverage, and entertainment enhancements. There have also been proposals for other large scale non-gaming development projects in Las Vegas by various other developers.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 in certain areas, including Atlantic City, where Hard Rock Hotel Atlantic City and Ocean Resort Casino were introduced into the market in 2018, causing increased competition in the market. Growth in consumer demand for non-gaming offerings could also negatively impact our gaming revenue.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particular, our business may be adversely impacted by the additional gaming and room capacity in Nevada, Louisiana, and Atlantic City and by the initiation and growth of online gaming in Nevada, Louisiana and other states. In addition, our operations located in New Jersey may be adversely impacted by the expansion of gaming in Maryland, New York and Pennsylvania, our operations in Louisiana may be adversely impacted by the expansion of gaming in Mississippi and the Gulf Coast, and our operations located in Nevada may be adversely impacted by the expansion of gaming in California.</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gaming industry has expanded into new jurisdictions in which gaming was not previously permitted. This growth is likely to continue in the future and will result in increased competition for our facilities in the jurisdictions in which we operate.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attract, retain and motivate employees, we may be unable to compete effectively, and lose the ability to improve and expand our businesses.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and ability to grow depend, in part, on our ability to hire, retain and motivate sufficient numbers of talented people with the increasingly diverse skills needed to serve clients and expand our business in many locations around the world. We face intense competition for highly qualified, specialized technical, managerial, and consulting personnel. Recruiting, training, retention and benefit costs place significant demands on our resources. Additionally, the impending departure of Caesars Entertainment’s President and Chief Executive Officer, Mark P. Frissora, and the ongoing search for a successor to Mr. Frissora may make recruiting executives to our businesses more difficult. The inability to attract qualified employees in sufficient numbers to meet particular demands or the loss of a significant number of our employees could have an adverse effect on us.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subject to seasonal fluctuations that could result in volatility and have an adverse effect on our operating results.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may be subject to some degree of seasonality. Weather conditions may deter or prevent customers from reaching the facilities or undertaking trips. Such conditions would particularly affect customers who are traveling longer distances to visit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our properties. Seasonality may cause our properties working capital cash flow requirements to vary from quarter to quarter depending on the variability in the volume and timing of sales. Business in our properties can also fluctuate due to specific holidays or other significant events, such as Easter (particularly when the holiday falls in a different quarter than the prior year), the World Series of Poker tournament (with respect to our Las Vegas properties), city-wide conventions, a large sporting event or a concert, or visits by our premium players. We also believe that any seasonality, holiday, or other significant event may affect our various properties or regions differently. These factors, among other things, make forecasting more difficult and may adversely affect our properties’ ability to manage working capital and to predict financial results accurately, which could adversely affect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energy prices and a rise in energy prices could harm our operating results.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large consumer of electricity and other energy and, therefore, higher energy prices may have an adverse effect on our results of operations. Accordingly, increases in energy costs may have a negative impact on our operating results. Additionally, higher electricity and gasoline prices that affect our customers may result in reduced visitation to our resorts and a reduction in our revenues. We may be indirectly impacted by regulatory requirements aimed at reducing the impacts of climate change directed at up-stream utility providers, as we could experience potentially higher utility, fuel, and transportation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 rates (hold rates) for our casino operations depend on a variety of factors, some of which are beyond our control.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have the potential to negatively impact our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fraud, theft, and cheating.</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the intellectual property rights we own or may be prevented from using intellectual property necessary for our business.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laws of some foreign countries may not protect proprietary rights or intellectual property to as great of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be able to retain our performers and other entertainment offerings on acceptable terms or at all.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properties’ entertainment offerings are only under contract for a limited time. For example, Jennifer Lopez’s contract expired in 2018 and the contracts for Backstreet Boys and Celine Dion are scheduled to end in 2019. These and other of our performers draw customers to our properties and are a significant source of our revenue. We cannot assure you that we will be able to retain our performers or other shows on acceptable terms or at all. In addition, the third parties which we depend on for the properties’ entertainment offerings may become incapable or unwilling to provide their services at the level agreed upon or at all. These and other of our entertainment offerings draw customers to the properties and are a significant source of our revenue.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properties are managed by CES, which also manages other Las Vegas properties owned by Caesars Entertainment and its other subsidiaries, and our entertainment offerings will be determined by CES and not by us. If we are unable to retain our resident performers or engage replacement performers of comparable popularity on acceptable terms, or if the third parties on which we depend to determine and negotiate contracts for the properties’ entertainment offerings were to become incapable or unwilling to provide their services at the level agreed upon or at all, we may suffer a decline in visitors to the properties and a loss of profits. We also rely on other third parties to manage other entertainment offerings at the properties, including certain of the nightclubs, bars and restaurants.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 our gaming activities on a credit and cash basis at many of our properties. Any such credit we extend is unsecured. Table games players typically are extended more credit than slot players, and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quarter. We extend credit to those customers whose level of play and financial resources warrant, in the opinion of management, an extension of credit. These large receivables could have a significant impact on our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Acts of terrorism, war, natural disasters, severe weather and political, economic and military conditions may impede our ability to operate or may negatively impact our financial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and Afghanistan and/or Syria or other countries throughout the world, and governmental responses to those acts or hostilities, will directly or indirectly impact our business and operating results. As a consequence of the threat of terrorist attacks and other acts of war or hostility in the future, premiums for a variety of insurance products have increased, and some types of insurance are no longer available. If any such event were to affect our properties, we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would likely be adversely affected.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natural and man-made disasters such as major fires, floods, severe snowstorms, hurricanes, earthquakes, and oil spills could also adversely impact our business and operating results. Such events could lead to the loss of use of one or more of our properties for an extended period of time and disrupt our ability to attract customers to certain of our gaming facilities. If any such event were to affect our properties, we would likely be adversely impacted. In most cases, we have insurance that covers portions of any losses from a natural disaster, but it is subject to deductibles and maximum payouts in many cases. Although we may be covered by insurance from a natural disaster, the timing of our receipt of insurance proceeds, if any, is out of our control. In some cases, however, we may receive no proceeds from insurance.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 natural disaster affecting one or more of our properties may affect the level and cost of insurance coverage we may be able to obtain in the future, which may adversely affect our financial position.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our operations depend in part on our customers’ ability to travel, severe or inclement weather can also have a negative impact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impairments to goodwill, indefinite-lived intangible assets, or long-lived assets which could negatively affect our future profits.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perform our annual goodwill impairment assessment as of October 1. We perform this assessment more frequently if impairment indicators exist. We performed our annual goodwill impairment test by comparing the fair value of each reporting unit with its carrying amount. We determine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our annual impairment assessment of other non-amortizing intangible assets as of October 1. We perform this assessment more frequently if impairment indicators exist. We determine the estimated fair value of our non-amortizing intangible assets by primarily using the “Relief from Royalty Method” and “Excess Earnings Method” under the income approach.</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the carrying value of our long-lived assets whenever events and circumstances indicate that the carrying value of an asset may not be recoverable from the estimated future cash flows expected to result from its use and eventual disposition. As necessary, we typically estimate the fair value of assets starting with a “Replacement Cost New” approach and then deduct appropriate amounts for both functional and economic obsolescence to arrive at the fair value estimates. Other factors considered by management in performing this assessment may include current operating results, trends, prospects, and third-party appraisals, as well as the effect of demand, competition, and other economic, legal, and regulatory factors.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significant negative industry or economic trends, reduced estimates of future cash flows, disruptions to our business, slower growth rates or lack of growth in our business, or property closures or divestitures occur, we may be required to record impairment charges in future periods which may be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negatively impact our future profits.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Some of our employees are represented by labor unions and, accordingly, we are subject to the risk of work stoppages or other labor disruptions from time to time. Also, wage and/or benefit increases resulting from new labor agreements may be significant and could also have an adverse impact on our results of operations.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currently has 29 collective bargaining agreements covering various employees in Las Vegas expiring in 2019. Four unions represent the employees covered by 28 of those expiring agreements. All agreements are subject to automatic extension unless one party gives 30 days’ prior notice of intent to terminate. No such notice has been given. The Company intends to negotiate renewal agreements for all collective bargaining agreements expiring and is hopeful that it will be able to reach agreements with the respective unions without any work stoppage. Work stoppages and other labor disruptions could have a material adverse impact on the Company’s operations. See Item 1, “Business—Employee Relations” for more information.</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have also experienced attempts by labor organizations to organize certain of our non-union employees. These efforts have achieved some success to date. We cannot provide any assurance that we will not experience additional and successful union activity in the future. The impact of this union activity is undetermined and could negatively impact our profits.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may be subject to material environmental liability, including as a result of unknown environmental contamination.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is subject to certain federal, state and local environmental, health and safety laws, regulations and ordinances that govern activities or operations that may have adverse environmental effects, such as emissions to air, discharges to streams and rivers and releases of hazardous substances and pollutants into the environment, as well as handling and disposal from municipal/non-hazardous waste, and that also apply to current and previous owners or operators of real estate generally. Federal examples of these laws include the Clean Air Act, the Clean Water Act, the Resource Conservation Recovery Act, the Comprehensive Environmental Response, Compensation and Liability Act and the Oil Pollution Act of 1990. Our failure to comply with these laws, including any required permits or licenses, could result in substantial fines or possible revocation of our authority to conduct some of our operations. Certain of these laws may impose cleanup responsibility and liability without regard to whether the owner or operator knew of or caused particular contamination or release of hazardous substances and regardless of whether the practices that resulted in the contamination were legal at the time that they occurred. Should unknown contamination be discovered on any of our properties, or should a release of hazardous substances occur on any of our properties, we could be required to investigate and clean up the contamination and could also be held responsible to a governmental entity or third parties for property damage, personal injury or investigation and cleanup costs incurred in connection with the contamination or release, which may be substantial. Moreover, such contamination may also impair our ability to use or develop the affected property. Such liability could be joint and several in nature, regardless of fault, and could affect us even if such property is vacated. The potential for substantial costs and an inability to use the property could adversely affect our business. New and more stringent environmental, health and safety regulations and permit requirements or stricter interpretations of current laws or regulations, such as those related to climate change, could also impose substantial additional costs on our business.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we could suffer, and, in the future, our insurance costs may increase significantly or we may be unable to obtain the same level of insurance coverage.</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suffer damage to our property caused by a casualty loss (such as fire, natural disasters and acts of war or terrorism) that could severely disrupt our business or subject it to claims by third parties who are injured or harmed. Although we maintain insurance (including property, casualty, terrorism and business interruption), it may be inadequate or unavailable to cover all of the risks to which our business and assets may be exposed. In several cases we maintain extremely high deductibles or self-insure against specific losses. Should an uninsured loss (including a loss that is less than our deductible) or loss in excess of insured limits occur, it could have a significant adverse impact on our operations and revenues.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renew our insurance policies on an annual basis. If the cost of coverage becomes too high, we may need to reduce our policy limits or agree to certain exclusions from our coverage in order to reduce the premiums to an acceptable amount. Among other factors, homeland security concerns, other catastrophic events or any change in the current U.S. statutory requirement that insurance carriers offer coverage for certain acts of terrorism could adversely affect available insurance coverage and result in increased premiums on available coverage (which may cause us to elect to reduce our policy limits) and additional exclusions from coverage. Among other potential future adverse changes, in the future we may elect to not, or may be unable to, obtain any coverage for losses due to acts of terrorism.</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success of third parties adjacent to our properties is important to our ability to generate revenue and operate our business and any deterioration to their success could materially adversely affect our revenue and result of operations.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certain cases, we do not own the businesses and amenities adjacent to our properties. However, the adjacent third-party businesses and amenities stimulate additional traffic through our complexes, including the casinos, which are our largest generators of revenue. Any decrease in the popularity of, or the number of customers visiting, these adjacent businesses and amenities may lead to a corresponding decrease in the traffic through our complexes, which would negatively affect our business and operating results. Further, if newly opened properties are not as popular as expected, we will not realize the increase in traffic through our properties that we expect as a result of their opening, which would negatively affect our business projections.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make significant investments to support our business growth, and may require additional funds to respond to business challenges, expand into new markets, improve our operating infrastructure or acquire complementary businesses, personnel and technologies. Accordingly, we may need to engage in equity or debt financings to secure additional funds. Any debt financing we secure in the future could involve restrictive covenants relating to capital raising activities and other financial and operational matters, which may make it more difficult to obtain additional capital and to pursue business opportunities, including potential acquisitions. We may not be able to obtain additional financing on favorable terms, if at all. There can be no assurances that we could pursue a future offering of securities or enter into a new credit facility at an appropriate price and/or terms to raise the necessary financing. If we are unable to obtain adequate financing or financing on terms satisfactory to us when required,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ability to continue to support our business growth and to respond to business challenges could be significantly impaired, which could have a material adverse effect on our business, financial condition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obligation to contribute to multi-employer pension plans, or discontinuance of such obligations, may have an adverse impact on us.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contribute to and participate in various multi-employer pension plans for employees represented by certain unions. We are required to make contributions to these plans in amounts established under collective bargaining agreements. We do not administer these plans and, generally, are not represented on the boards of trustees of these plans. The Pension Protection Act enacted in 2006 (the “PPA”) requires under-funded pension plans to improve their funding ratios. Based on the information available to us, some of the multi-employer plans to which we contribute are either “critical” or “endangered” as those terms are defined in the PPA. Specifically, the Legacy Plan of the UNITE HERE Retirement Fund (a spin-off of the Legacy Plan of the National Retirement Fund, effective January 1, 2018) is less than 65% funded. We cannot determine at this time the amount of additional funding, if any, we may be required to make to these plans. However, plan assessments could have an adverse impact on our results of operations or cash flows for a given period. Furthermore, under current law, upon the termination of a multi-employer pension plan, due to the withdrawal of all its contributing employers (a mass withdrawal), or in the event of a withdrawal by us, which we consider from time to time, we would be required to make payments to the plan for our proportionate share of the plan’s unfunded vested liabilities and that would have a material adverse impact on our consolidated financial condition, results of operations and cash flows.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arrangements entered into in connection with CEOC’s emergence from bankruptcy may have a negative impact on our business and operating condition.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certain call right agreements entered into in connection with CEOC’s emergence from bankruptcy, VICI will have a right for five years from October 6, 2017, the date of those agreements, to purchase and leaseback interests in the real property assets associated with Harrah’s Laughlin, Harrah’s Atlantic City and Harrah’s New Orleans properties owned by the Company, at the price calculated in accordance with the applicable call right agreement, which could also impose additional lease payments and other obligations. The price under the call right agreements, if exercised, may be less than the fair market value of the affected property at such time; in which case, the Company may be forced to sell such property to VICI for an amount that would be less than what it might realize in an arm’s length sale to a third party.</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majority of our major gaming resorts are concentrated on the Las Vegas Strip, we are subject to greater risks than a gaming company that is more geographically diversified.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that a majority of our major resorts are concentrated on the Las Vegas Strip, our business may be significantly affected by risks common to the Las Vegas tourism industry. For example, the cost and availability of air services and the impact of any events that disrupt air travel to and from Las Vegas can adversely affect our business. We cannot control the number or frequency of flights to or from Las Vegas, but we rely on air traffic for a significant portion of its visitors. Reductions in flights by major airlines as a result of higher fuel prices or lower demand can impact the number of visitors to our resorts. Additionally, there is one principal interstate highway between Las Vegas and Southern California, where a large number of our customers reside. Capacity constraints of that highway or any other traffic disruptions may also affect the number of customers who visit our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adverse effects from tenant bankruptcies, which could negatively affect future profits.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Bankruptcy filings by tenants located in our properties may occur in the course of our operations. We will seek to re-lease vacant spaces resulting from tenant terminations. The bankruptcy of a tenant may make it more difficult to lease the remainder of the affected properties. Future tenant bankruptcies could adversely affect our properties or impact our ability to successfully execute our re-leasing strategy. See “Risks related to our dependence on Caesars Entertainment, CEOC LLC and CES-A default by Caesars Entertainment or CEOC LLC on certain of their respective debt obligations could adversely affect our business, financial condition and operating results.”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Planet Hollywood licenses the Planet Hollywood brand from affiliates of Robert Earl and there can be no assurances that the Planet Hollywood brand would not be negatively impacted by its use outside of our control.</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Affiliates of Robert Earl license certain intellectual property relating to the operation of the Planet Hollywood Resort &amp; Casino to Planet Hollywood. See Item 1, “Business—Intellectual Property.” The license includes certain trademarks, domain names and intellectual property and the right to display and exhibit certain memorabilia on the Planet Hollywood premises. Planet Hollywood has invested significant time and financing to establish its brand as a Hollywood-themed entertainment and non-gaming destination. The expiration or termination, or modification of the terms, of this license may have a materially adverse effect on Planet Hollywood’s, and therefore our, business, financial conditions and operations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In addition, the Planet Hollywood brand is used by affiliates of Robert Earl in Hollywood-themed restaurants and shops around the United States and internationally. Any negative events associated with the use of the Planet Hollywood brand with these restaurants and shops may be out of our control, and may negatively impact the brand’s image for the Planet Hollywood casino, which could harm Planet Hollywood’s, and therefore our, business, financial conditions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financial information may not be a reliable indicator of our future results.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historical financial information is not necessarily indicative of what our results of operations, financial position and cash flows will be in the future.</w:t>
      </w:r>
    </w:p>
    <w:p>
      <w:pPr>
        <w:spacing w:after="0" w:line="1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Risks Related to Our Indebtedness and Rental Obligations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substantial indebtedness and the fact that a significant portion of our cash flow is used to make interest payments and rent payments under the HLV Lease Documents (defined below) could adversely affect our ability to raise additional capital to fund our operations, limit our ability to react to changes in the economy or our industry and prevent us from making debt service payments and rent payments.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highly-leveraged company and had $6.5 billion in debt outstanding under our credit facilities and notes as of December 31, 2018. As a result, a significant portion of our liquidity needs are for debt service on such indebtedness, including significant interest payments. Our estimated debt service (including principal and interest) on our credit facilities and notes is $497 million for 2019 and $8.1 billion thereafter to maturity for our currently outstanding indebtedness under our credit facilities and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details of our debt outstanding and related restrictive covenants.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substantial indebtedness and the restrictive covenants under the agreements governing such indebtedness, and indebtedness of, or guaranteed by, our affiliates (on whom we depend for various services), could:</w:t>
      </w:r>
    </w:p>
    <w:p>
      <w:pPr>
        <w:spacing w:after="0" w:line="116"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money for our working capital, capital expenditures, development projects, debt service requirements, rent payment requirements, strategic initiatives or other purposes;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and the HLV Lease Documents, and any failure to comply with the obligations of any of our debt instruments or HLV Lease Documents, including restrictive covenants and borrowing conditions, could result in an event of default under the agreements governing our indebtedness or such HLV Lease Documents;</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that a substantial portion of our cash flow from operations be dedicated to the payment of rent and interest and repayment of our indebtedness thereby reducing funds available to us for other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us more highly leveraged than certain of our competitors, which may place us at a competitive disadvantage;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or the economy;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the availability for us to make strategic acquisitions, develop new gaming facilities, introduce new technologies or exploit business opportunities;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affect our ability to renew certain gaming and other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and the HLV Lease Documents, among other things, our ability to borrow additional funds or dispose of assets;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are at variable rates of interest.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 foregoing could have a material adverse effect on our business, financial condition, results of operations, prospects and ability to satisfy our outstanding debt obligations and lease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satisfy our debt obligations and lease obligations will depend upon, among other things:</w:t>
      </w:r>
    </w:p>
    <w:p>
      <w:pPr>
        <w:spacing w:after="0" w:line="17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and operating performance, which will be affected by prevailing economic conditions and financial, business, regulatory and other factors, many of which are beyond our control;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ability to borrow under our credit facilities, the availability of which depends on, among other things, our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complying with the covenants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debt agreements contain, and the agreements governing any future indebtedness of ours would likely contain, a number of covenants that impose significant operating and financial restrictions on us, including restrictions on our and our subsidiaries’ ability to, among other things:</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our capital stock or make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covenants, we are limited in the manner in which we conduct our business, and we may be unable to engage in favorable business activities or finance future operations or capital needs.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pledged a significant portion of our assets as collateral under our secured debt agreements. If any of our lenders accelerate the repayment of borrowings, there can be no assurance that we will have sufficient assets to repay our indebtedness.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required to satisfy and maintain specified financial ratios under the agreements governing our revolving credit facilities if and when specified amounts are drawn and outstanding under our revolving credit facility. See Note 11 for further information. Our ability to meet the financial ratios under our debt agreements can be affected by events beyond our control, and there can be no assurance that we will be able to continue to meet those ratios.</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failure to comply with the covenants contained in the agreements that govern our indebtedness could result in an event of default thereunder, which, if not cured or waived, could have a material adverse effect on our business, financial condition and results of operations. In the event of any default under our indebtedness, the lenders or noteholders thereunder:</w:t>
      </w:r>
    </w:p>
    <w:p>
      <w:pPr>
        <w:spacing w:after="0" w:line="1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elect to declare all indebtedness outstanding, together with accrued and unpaid interest and fees, to be due and payable and terminate all commitments to extend further credit; and/or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apply all of our available cash to repay such indebtedness.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actions by the lenders or noteholders could cause cross defaults under our other indebtedness. If we were unable to repay those amounts, the lenders under our secured credit facilities could proceed against the collateral granted to them to secure that indebtedness.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indebtedness under our credit facilities or our other indebtedness were to be accelerated, there can be no assurance that our assets would be sufficient to repay such indebtedness in full.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leasing and related arrangements which may have a negative impact on our business and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one of our subsidiaries are parties to a lease agreement, as amended (the “HLV Lease”), and guaranty relating to Harrah’s Las Vegas (collectively, the “HLV Lease Documents”), whereby our subsidiary leases Harrah’s Las Vegas from a subsidiary of VICI and we guarantee the payment and performance of all monetary obligations of our subsidiary under such lease.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CEC has entered into call right agreements with VICI pursuant to which VICI has the right to purchase and lease back to us and our subsidiaries interests in the real property and the related fixtures associated with Harrah’s Laughlin, Harrah’s Atlantic City and Harrah’s New Orleans, which could also impose additional lease payments and other obligations on our subsidiaries and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If our businesses and properties fail to generate sufficient earnings, the payments required to service the HLV Lease Documents and any lease agreements entered into in connection with the call right agreements may materially and adversely limit our ability to make investments to maintain and grow our portfolio of businesses and properties. Additionally, we may be subject to other significant obligations under such lease agreements and any related guarantees, which could materially and adversely affect our business and operating results, if our subsidiaries that operate the assets subject to such leases are unable to satisfy their lease payments and other monetary obligations thereunder.</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HLV Lease Documents and any leases entered into in connection with the call right agreements generally impose restrictions on our business activities and those of our applicable subsidiaries, including restrictions on transfers of the leased properties, requirements to make specified minimum levels of capital expenditures and limitations regarding how the leased properties may be operated. Compliance with the restrictions in such lease documents may constrain our ability to implement any growth plans as well as its flexibility to react and adapt to unexpected operational challenges and adverse changes in economic and legal conditions. Additionally, with respect to properties leased pursuant to any such leases, we generally will be required to restore properties that are damaged by casualties regardless of whether any insurance proceeds are sufficient to pay for the restoration.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subsidiary that leases Harrah’s Las Vegas is required to pay a significant portion of its cash flow from operations to VICI pursuant to and subject to the terms and conditions of the HLV Lease Documents, which could adversely affect its ability to fund its operations or development projects, raise capital, make acquisitions, and otherwise respond to competitive and economic changes.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that leases Harrah’s Las Vegas is required to pay a significant portion of its cash flow from operations to VICI pursuant to and subject to the terms and conditions of the HLV Lease Documents. As a result of this commitment, its ability to fund its own operations or development projects, raise capital, make acquisitions and otherwise respond to competitive and economic changes may be adversely affected. For example, its obligations under the HLV Lease Documents may:</w:t>
      </w:r>
    </w:p>
    <w:p>
      <w:pPr>
        <w:spacing w:after="0" w:line="1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this subsidiary to satisfy its obligations with respect to its indebtedness and to obtain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this subsidiary’s vulnerability to general or regional adverse economic and industry conditions or a downturn in its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this subsidiary to dedicate a substantial portion of its cash flow from operations to making lease payments, thereby reducing the availability of its cash flow to fund working capital, capital expenditures and other general corporate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this subsidiary’s flexibility in planning for, or reacting to, changes in its business and the industry in which it operates;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this subsidiary’s ability to raise capital, make acquisitions and divestitures and engage in other significant transactions.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we or our subsidiaries enter into any additional lease agreements with VICI pursuant to the call right agreements relating to Harrah’s Laughlin, Harrah’s Atlantic City and Harrah’s New Orleans, those lease agreements likely would have similar impacts on us or our subsidiaries that are party to them.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listed factors could have a material adverse effect on our business, financial condition and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Harrah’s Las Vegas is leased and could experience risks associated with leased property, including risks relating to lease termination, lease extensions, consents and approvals, charges and our relationship with VICI, which could have a material adverse effect on our business, financial position or results of operations.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Harrah’s Las Vegas is leased pursuant to the HLV Lease Documents and could experience risks associated with leased property, including risks relating to lease termination, lease extensions, consents and approvals, charges and our relationship with VICI, which could have a material adverse effect on our business, financial position or results of operations. If VICI exercises its rights under the call right agreement CEC has entered into with it, additional properties that are currently owned by our subsidiaries would instead be leased from VICI. Termination of any or all of the HLV Lease Documents or any lease agreements entered into in connection with the call right agreements would result in our subsidiaries losing some or all of their rights with respect to the applicable properties and could result in a default under our debt agreements and could have a material adverse effect on our business, financial position or results of operations. In the event of certain terminations of the HLV Lease Documents or any lease agreements entered into in connection with the call right agreements, our applicable subsidiaries may be required to cooperate to transfer all personal property located at the applicable facility to a designated successor. Moreover, since as lessees our subsidiaries do not completely control the land and improvements underlying their operations, VICI as lessor could take certain actions 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color w:val="auto"/>
        </w:rPr>
        <w:t>disrupt our subsidiaries’ rights in the facilities leased under the HLV Lease Documents and any lease agreements entered into in connection with the call right agreements which are beyond our control. If VICI chose to disrupt our subsidiaries’ use either permanently or for a significant period of time, then the value of their assets could be impaired and their business and operations could be adversely affected. There can also be no assurance that we and our subsidiaries will be able to comply with our obligations under the HLV Lease Documents and any lease agreements entered into in connection with the call right agreements in the future. In addition, if VICI has financial, operational, regulatory or other challenges there can be no assurance that VICI will be able to comply with its obligations under its agreements with us or our subsidiaries. The HLV Lease Documents are a type of lease that is commonly known as a triple net lease. Accordingly, in addition to rent, our subsidiary that is the tenant under the HLV Lease Documents is required to pay all operating costs associated with the respective facilities, including the payment of taxes, insurance and all repairs, and provide indemnities to VICI against liabilities associated with the operations of each facility. Our applicable subsidiary is responsible for incurring the costs described in the preceding sentence notwithstanding the fact that many of the benefits received in exchange for such costs may in part accrue to VICI as owner of the associated facilities. In addition, if Harrah’s Las Vegas should prove to be unprofitable, our applicable subsidiary could remain obligated for lease payments and other obligations under the HLV Lease Documents even if it decides to withdraw from operating Harrah’s Las Vegas and consequently, we will remain obligated under our guaranty of the HLV Lease. Our applicable subsidiary could incur special charges relating to the closing of Harrah’s Las Vegas including lease termination costs, impairment charges and other special charges that would reduce its net income and could have a material adverse effect on our business, financial condition and results of operations.</w:t>
      </w:r>
    </w:p>
    <w:p>
      <w:pPr>
        <w:spacing w:after="0" w:line="1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lease agreements entered into in connection with the call right agreements relating to Harrah’s Laughlin, Harrah’s Atlantic City and Harrah’s New Orleans likely would have substantially the same terms as the HLV Lease Documents and therefore would give rise to similar risks.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generate sufficient cash to service all of our indebtedness and lease commitments, and may be forced to take other actions to satisfy our obligations under our indebtedness and lease commitments that may not be successful.</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unable to generate sufficient cash flow from operations, or may be unable to draw under our credit facilities or otherwise, in an amount sufficient to fund our liquidity needs. Our operating cash inflows are typically used for operating expenses, debt service costs, lease payments, working capital needs, and capital expenditures in the normal course of business. Our operating cash flow was $517 million in 2017 and $663 million in 2018. Our estimated debt service (including principal and interest) is $497 million for 2019 and $8.1 billion thereafter to maturity for our outstanding indebtedness and our estimated financing obligation is $88 million for 2019 and $2.8 billion thereafter to maturity for our outstanding lease arrangements. If we are unable to service our debt obligations or pay our financing obligations, there can be no assurances that our business will continue in its current state.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details of our debt outstanding and Note 9 for details of our lease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indebtedness and lease commitments, which could adversely affect our ability to pursue certain business opportunities.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and our subsidiaries may incur additional indebtedness and lease commitments at any time and from time to time in the future. Although the terms of the agreements governing our indebtedness and lease commitments contain restrictions on our ability to incur additional indebtedness and certain types of lease commitments, these restrictions are subject to a number of important qualifications and exceptions, and the indebtedness and lease commitments incurred in compliance with these restrictions could be substantial. For example, as of December 31, 2018, we had $864 million of additional borrowing capacity available under our senior secured credit facility, net of $100 million outstanding and $36 million committed to outstanding letters of credit. We may consider incurring additional indebtedness in the future to fund our growth strategy.</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debt agreements allow for limited future issuances of additional secured or unsecured indebtedness, which may include, in each case, indebtedness secured on a pari passu basis with the obligations under our credit facilities. This indebtedness could be used for a variety of purposes, including financing capital expenditures, refinancing or repurchasing our outstanding indebtedness, including existing unsecured indebtedness, or for general corporate purposes. We have raised and expect to continue to raise debt, including secured debt, to directly or indirectly refinance our outstanding unsecured debt on an opportunistic basis, as well as development and acquisition opportunities. Additional indebtedness would require greater servicing payments, and accordingly, may affect our future liquidity and limit our ability to pursue certain opportunities and implement any growth plans in the future.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Repayment of our debt, including required principal and interest payments on our credit facilities and notes, is dependent on cash flow generated by our subsidiaries.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subsidiaries currently own a substantial portion of our assets and conduct a substantial portion of our operations. Accordingly, repayment of our indebtedness, including our credit facilities and notes, is dependent, to a significant extent, on the generation of cash flow by our subsidiaries and their ability to make such cash available to us, by dividend, debt repayment or otherwise. Our subsidiaries do not have any obligation to pay amounts due on our credit facilities or notes or to make funds available for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30"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purpose (other than with respect to subsidiary guarantees granted by certain of our subsidiaries). Our subsidiaries may not be able to, or may not be permitted to, make distributions to enable us to make payments in respect of our credit facilities and notes. Each subsidiary is a distinct legal entity and, under certain circumstances, legal and contractual restrictions may limit our ability to obtain cash from our subsidiaries.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CRC Notes.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default under the agreements governing our indebtedness, including a default under the new $5.7 billion senior secured credit facility (the “CRC Senior Secured Credit Facilities”), which includes a $1.0 billion five-year revolving credit facility (the “CRC Revolving Credit Facility”) and a $4.7 billion seven-year first lien term loan (the “CRC Term Loan”), that is not waived by the required lenders, and the remedies sought by the holders of such indebtedness could leave us unable to pay principal, premium, if any, or interest on the $1.7 billion aggregate principal amount of 5.25% senior notes due 2025 (the “CRC Notes”) and could substantially decrease the market value of the CRC Notes. If we are unable to generate sufficient cash flow and are otherwise unable to obtain funds necessary to meet required payments of principal, premium, if any, or interest on our indebtedness, or if we otherwise fail to comply with the various covenants, including financial and operating covenants, in the instruments governing our indebtedness (including the CRC Senior Secured Credit Facilities),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CRC Revolving Credit Facility could elect to terminate their commitments, cease making further loans and institute foreclosure proceedings against our assets, and we could be forced into bankruptcy or liquidation. If our operating performance declines, we may in the future need to seek waivers from the required lenders under the CRC Senior Secured Credit Facilities to avoid being in default. If we breach our covenants under the CRC Senior Secured Credit Facilities and seek a waiver, we may not be able to obtain a waiver from the required lenders. If this occurs, we would be in default under the CRC Senior Secured Credit Facilities, the lenders could exercise their rights as described above, and we could be forced into bankruptcy or liquidation.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Caesars Entertainment, CEOC LLC and CES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results of operations could be negatively affected as a result of the actions of activist stockholders directed at our parent company, Caesars Entertainment.</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Caesars Entertainment has been the subject of actions taken by activist stockholders. For instance, on February 19, 2019, Carl C. Icahn and various affiliated entities (collectively, “Icahn”) filed with the SEC a Schedule 13D indicating that Icahn beneficially owns 9.8 percent of Caesars Entertainment’s common stock. The Schedule 13D disclosed that Icahn had spoken to, and intended to continue to speak with, the board of directors and management of Caesars Entertainment regarding enhancing shareholder value, improving asset optimization and seeking board representation, including, if necessary, by nominating a slate of directors at Caesars Entertainment’s 2019 annual meeting of stockholders. The Schedule 13D also indicated that Icahn believes that Caesars Entertainment’s board of directors should conduct a strategic process to comprehensively assess the best path forward for the company and Icahn’s belief that stockholder value might be best served, and enhanced, by selling the company.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Activist stockholders may, from time to time, engage in proxy solicitations or advance stockholder proposals, or otherwise attempt to effect changes and assert influence on Caesars Entertainment’s board of directors and management. Responding to proposals by activist stockholders may, and responding to a proxy contest instituted by stockholders would, among other things, require significant time and attention by Caesars Entertainment’s board of directors and management, diverting their attention from the pursuit of their business strategy, including from our business and operations. Any perceived uncertainties as to the future direction and control of Caesars Entertainment, its ability to execute on its strategy or changes to the composition of its board of directors or senior management team arising from proposals by activist stockholders or a proxy contest could lead to the perception of a change in the direction of its and our business or instability which may be exploited by our competitors, result in the loss of potential business opportunities and make it more difficult to pursue our strategic initiatives or attract and retain qualified personnel and business partners, any of which could have a material adverse effect on our business and operating results. In addition, stockholder activism and potential resulting changes in governance of Caesars Entertainment may have implications under the various gaming laws to which we are subject, and could have an adverse impact on our gaming licenses. Caesars Entertainment may choose to initiate, or may become subject to, litigation as a result of proposals by activist stockholders or proxy contests or matters relating thereto, which would serve as a further distraction to its board of directors and management.</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that Caesars Entertainment implements any proposals made by Icahn or any other activist stockholder to change the composition of its board of directors, engage in particular transactions or change certain aspects of its strategy, the resulting changes in its business, assets, results of operations and financial condition may be material and may have a material adverse effect on our business and operating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b w:val="1"/>
          <w:bCs w:val="1"/>
          <w:i w:val="1"/>
          <w:iCs w:val="1"/>
          <w:color w:val="auto"/>
        </w:rPr>
        <w:t>We are dependent on Caesars Entertainment, CEOC LLC and CES and its subsidiaries to manage our properties and provide corporate services, back-office support and business advisory services through the Omnibus Agreement. We cannot operate without the services provided by subsidiaries of Caesars Entertainment and will be adversely affected if the Omnibus Agreement is terminated.</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dependent on Caesars Entertainment and its subsidiaries for a number of management functions. In particular, pursuant to the Omnibus Agreement, CES, a services joint venture between CEOC LLC and us, manages our properties and provides us with access to Caesars Entertainment’s management expertise, intellectual property, back office services and Caesars Rewards; administrative operations and costs are allocated among the members of CES for providing such services. These operations include, but are not limited to, information technology services; website management services; operations and production services; vendor relationship management services; strategic sourcing services; real estate services; development services; construction services; finance and accounting services; procurement services; treasury and trust services; human resources services; marketing and public relations services; legal services; insurance services; corporate/executive services; payroll services; security and surveillance services; government relation services; communication services; consulting services; and data access services. If the quality of the services provided by CES, or the terms under which CES provides services or licenses intellectual property, change in a manner that is adverse to our properties, it could have a material adverse effect on our business, financial condition and operating results. In addition, key members of management for our properties are employed by CES. For example, the management team of Paris Las Vegas is employed by CES and also has responsibility for Planet Hollywood and Bally’s Las Vegas.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if the Omnibus Agreement were to be terminated and not replaced, or if CES were to suffer significant liquidity or operational difficulties, becoming incapable of licensing intellectual property or providing support and management services (at agreed upon levels or at all), or if CES were to cease operations altogether, we would no longer have access to the intellectual property licensed by CES or the operational support and management expertise provided by Caesars Entertainment, which could have a material adverse effect on our business, financial condition and operating results.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failure by us to obtain the operational and management support of Caesars Entertainment and its subsidiaries, and particularly any failure by us to obtain Caesars Entertainment’s expertise in operating casinos or maintaining access to system-wide intellectual property, including Caesars Rewards, would adversely affect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control 100% of CES and the interests of our co-investor may not align with our interests.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and CEOC LLC are members of CES, and we and our subsidiaries rely on CES to provide us with intellectual property licenses and property management services, among other services. The members of CES are required to contribute as necessary to fund CES’s operating costs and capital requirements in accordance with the terms of the operating agreement that governs CES. The amount the Company will be required to fund in the future may be greater than its initial contributions, and will be subject to the review and approval of the CES steering committee. Even after giving effect to the CRC Merger, we do not control 100% of CES, and conflicts of interest may arise, as our interests may not align fully with those of CEOC LLC. Actions requiring unanimous consent include any decision with respect to liquidation or dissolution of CES, merger, consolidation or sale of all or substantially all the assets of CES, usage of CES assets in a manner inconsistent with the purposes of CES, material amendment to CES’ operating agreement, admission of new investors to CES and filing of any bankruptcy or similar action by CES. Thus, CEOC LLC may block those actions requiring unanimous consent of the members notwithstanding that such actions are in our interest. As of December 31, 2018, CRC owned 31% of CES and CEOC LLC owned 69% of CES.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expertise of Caesars Entertainment’s and CES’s senior management, who may not be directly invested in our success, which may have an adverse effect on our business, financial condition and operating results.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a great deal on the expertise and guidance of Caesars Entertainment’s senior management who do not receive direct compensation from us. As a result, Caesars Entertainment’s senior management may devote substantially less time to the business and operations of us than were they to be employed by us. The LINQ Promenade and the High Roller observation wheel require additional time and resources from Caesars Entertainment’s and CES’ management, and they may not be able to divert such time and resources or may be unsuccessful in managing this new endeavor. The individuals who manage the properties are compensated based on the performance of the Caesars properties in the city in which they operate, not on the performance of the properties alone, and some of our key managers also manage other Caesars properties. As a result, the interests of our property managers may not be directly aligned with ours. Senior management that is not invested in the success of our business may have an adverse effect on our business, financial condition and operating results.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loss of the services of key personnel from Caesars Entertainment or CES could have a material adverse effect on our business, financial condition and operating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leadership of Caesars Entertainment’s and CES’ senior management has been a critical element of Caesars Entertainment’s success. The advisory and management services provided to us depend on this senior management. Caesars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Entertainment’s and CES’ other executive officers and other members of senior management have substantial experience and expertise in our business that we believe will make significant contributions to our growth and success. Additionally, we rely on other Caesars Entertainment and CES employees and teams to operate our business. For example, CES’ marketing team, which works with all of Caesars Entertainment’s properties, has the responsibility for marketing for our properties.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2018, Caesars Entertainment announced the departure of its President and Chief Executive Officer, Mark P. Frissora. Subject to the terms of the Separation Agreement, Mr. Frissora will continue as President and Chief Executive Officer until a termination date of April 30, 2019 (which Caesars Entertainment may extend by one month) for purposes of continuity of leadership as Caesars Entertainment searches for a successor to Mr. Frissora with the nationally recognized third-party search firm engaged for that purpose. Any failure by Caesars Entertainment to manage this leadership transition or a failure to timely identify a qualified permanent Chief Executive Officer could have a material adverse effect on our business.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unexpected loss of services of one or more members of Caesars Entertainment’s or CES’ management and key employees could also adversely affect us. The death or disability of, or other extended or permanent loss of services, or any negative market or industry perception of Caesars Entertainment’s or CES’ senior management could have a material adverse effect on our business. We are not protected by key man insurance.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default by Caesars Entertainment or CEOC LLC on certain of their respective debt obligations could adversely affect our business, financial condition and operating results.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default by Caesars Entertainment or CEOC LLC on certain of their respective debt obligations, including Caesars Entertainment’s $1.1 billion of 5% convertible senior notes due 2024 and CEOC LLC’s $1.5 billion term loan, or a default by CEOC LLC on its lease obligations, could adversely affect our business, financial condition and operating results. Caesars Entertainment (including its consolidated subsidiaries as well as CEOC LLC) is a highly leveraged company, and its subsidiaries, including us, have pledged a significant portion of our collateral under certain of Caesars Entertainment’s obligations. If Caesars Entertainment or its subsidiaries (including CEOC LLC), other than the Company and its subsidiaries, were to default on its obligations, its creditors could exercise significant influence over our business. We are dependent on a number of services from Caesars Entertainment, CES and other subsidiaries of Caesars Entertainment, including pursuant to the Omnibus Agreement. If Caesars Entertainment and/or any of its subsidiaries (including CEOC LLC, but excluding the Company and its subsidiaries) file for bankruptcy protection under the U.S. Bankruptcy Code, their filing may materially and adversely affect our assets and operations. For example, in the event of a default by Caesars Entertainment or CEOC LLC, its lenders or their successors may elect to reject the Omnibus Agreement as an executory contract in a bankruptcy proceeding. The result of this influence and any related disruption in our business could have a material adverse effect on our business, financial condition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Entertainment’s interests may conflict with our interests.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interests of Caesars Entertainment could conflict with our interests. Caesars Entertainment is in a casino and entertainment business similar to ours and may, from time to time in the future, pursue for itself acquisitions that would be complementary to our business, in which case, and as a result, those acquisition opportunities would not be available to us. Without access to acquisition opportunities, we will be limited in growing our business.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success of our business depends in part on our continued participation in the Caesars Rewards customer loyalty program. If casinos owned by us are unable to access the Caesars Rewards customer loyalty program database, it could have a material adverse impact on our business.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business depends in part on our ability to direct targeted marketing efforts to important casino and hospitality customers. The ability of our business to undertake those marketing efforts depends to a significant extent on its continued participation in Caesars Rewards owned and maintained by CES and its subsidiaries licensed to us pursuant to the Omnibus Agreement. In connection with this program, the casinos owned by us can develop information which allows them to track casino play and award complimentaries and other promotional opportunities to their customers. Complimentaries and other similar rewards are customarily offered by casino and gaming facilities to their customers and are important incentives to those customers. If the casinos owned by us are unable to access the Caesars Rewards database, it could have a material adverse impact on our business, financial condition and operating results. Participation in Caesars Rewards is one of our competitive strengths and our business and growth strategy are, in part, based on tracked play and targeted marketing efforts.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tracked play and cross-property play to generate revenue at our properties. In the past, the removal of Caesars Rewards from a property has resulted in negative impacts on such property’s financial results. Similarly, if we are unable to access the Caesars Rewards database, we expect our annual revenue would decline, which could have a material adverse impact on our business and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b w:val="1"/>
          <w:bCs w:val="1"/>
          <w:i w:val="1"/>
          <w:iCs w:val="1"/>
          <w:color w:val="auto"/>
        </w:rPr>
        <w:t>We license the right to use and sublicense various trademarks and service marks from CES and certain of its affiliates. Accordingly, if our existing licensing arrangements were terminated or if a third-party successfully challenges CES or its affiliates’ ownership of, or right to use, the Caesars-related marks or if we are unable to stop unauthorized use of such marks, or if CES or its affiliates use such marks in a way that negatively impacts the value of such marks, our business or results of operations could be harmed.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licensed the right to use certain trademarks and service marks owned or used by various affiliates of CES, including CLC. These licensed trademarks and service marks include, among others, “The LINQ,” “Harrah’s,” and “Caesars Rewards.” Our rights to use these trademarks and service marks are among our most valuable assets. If any of CES or CLC were to file for bankruptcy in the future, our business, financial condition and operating results could be adversely affected.</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the existing licensing arrangements were terminated and we fail to enter into new arrangements in respect of these marks, we could lose the rights to use these marks and the corresponding domain names, which could have a material adverse effect on our business, financial condition and operating results. These effects could include those resulting from the cost to change the name of the applicable property and the loss of brand recognition. If a third-party successfully challenges CES or its affiliates’ ownership of, or right to use, these marks (including, for example, due to CES or its affiliates’ failure to file for protection of such marks), our business, financial condition and operating results could be adversely impacted.</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despite CES’s efforts to protect its proprietary rights, parties may infringe on CES’s intellectual property, trademarks and use information that CES regards as proprietary and CES’s rights may be invalidated or unenforceable. The unauthorized use or reproduction of CES’s trademarks could diminish the value of CES’s brand and CES’s market acceptance, competitive advantages or goodwill, which could adversely affect our business.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CES has not applied for the registration of all of CES’s trademarks, copyrights, proprietary technology or other intellectual property rights, as the case may be, and may not be successful in obtaining all intellectual property rights for which CES has applied. The laws of some foreign countries may not protect proprietary rights or intellectual property to as great of an extent as do the laws of the United States. In addition, others may independently develop substantially equivalent intellectual property.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these trademarks and service marks are used by CES and its affiliates around the U.S. and internationally. Any negative events associated with the use of these marks by CES or its affiliates may be out of our control, and may negatively impact the “The LINQ,” “Harrah’s” or “Caesars Rewards” brands, which could harm our business, financial conditions and operating results.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Use of the “Harrah’s” brand name, or any of Caesars Entertainment’s other brands, by entities other than Caesars Entertainment and its affiliates could damage the brands and Caesars Entertainment’s operations and adversely affect our business and results of operations.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“Harrah’s” brand remains one of the most recognized casino brands in the world and our operations benefit from the global recognition and reputation generated by Caesars Entertainment’s brands. Generally, Caesars Entertainment is actively pursuing gaming and non-gaming management, branding, and development opportunities in Asia and other parts of the world where Caesars Entertainment’s brands and reputation are already well-recognized assets. In addition, Caesars Entertainment will continue to expand Caesars Entertainment’s World Series of Poker tournaments to international jurisdictions where Caesars Entertainment believes there could be legalization of online gaming, in order to grow the brand’s awareness. In connection with such opportunities, Caesars Entertainment intends to grant third parties licenses to use Caesars Entertainment’s brands. Our business, financial condition and operating results may be adversely affected by the management or the enforcement of the “Harrah’s” and the “World Series of Poker” brand names, or any of Caesars Entertainment’s other brands, by third parties outside of Caesars Entertainment’s exclusive control.</w:t>
      </w:r>
    </w:p>
    <w:p>
      <w:pPr>
        <w:spacing w:after="0" w:line="12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Failure by CES to protect the trademarks, technology and other intellectual property that we use could have a negative impact on the value of our brand names and adversely affect our business. In addition, CES may have the right to limit the expansion of scope or usage of our intellectual property.</w:t>
      </w:r>
    </w:p>
    <w:p>
      <w:pPr>
        <w:spacing w:after="0" w:line="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license from CES and its subsidiaries intellectual property and technology material to our overall business strategy, and we regard such intellectual property and technology to be an important element of our success. We rely on CES and its subsidiaries to seek to establish and maintain proprietary rights in such intellectual property and technology through the use of copyrights, patents, trademarks and trade secret laws. In addition, we rely on CES and its subsidiaries to maintain the trade secrets and confidential information licensed to us by nondisclosure policies and through the use of appropriate confidentiality agreements. Despite these efforts to protect the proprietary rights on which we rely, parties may infringe such intellectual property and use licensed information and technology that we regard as proprietary and our rights may be invalidated or unenforceable. Monitoring the unauthorized use of our licensed intellectual property and technology is difficult. Litigation by CES and its subsidiaries, as applicable, may be necessary to enforce the intellectual property rights and other rights on which we rely or to determine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auto"/>
        </w:rPr>
        <w:t>validity and scope of the proprietary rights of others. Litigation of this type could result in substantial costs and diversion of resources. We cannot assure you that all of the steps that we, CES and its subsidiaries have or will take to protect the licensed trademarks that we use in the United States will be adequate to prevent imitation of such trademarks by others. The unauthorized use or reproduction of the trademarks that we use could diminish the value of our brand and our market acceptance, competitive advantages or goodwill, which could adversely affect our business. In addition, the expansion of the scope or use of our intellectual property licensed from CES and its subsidiaries, as applicable, in many cases is subject to the consent of CES. Accordingly, we may not be able to take advantage of new applications or uses of our trade names, trademarks or other intellectual property without the consent of CES, which may adversely affect our ability to compete or expand our business scope.</w:t>
      </w:r>
    </w:p>
    <w:p>
      <w:pPr>
        <w:spacing w:after="0" w:line="12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In the event of a bankruptcy of Caesars Entertainment or its subsidiaries (other than the Company and its subsidiaries), a bankruptcy court may substantively consolidate the bankruptcy estates of Caesars Entertainment and its debtor subsidiaries with the Company, which would, among other things, allow the creditors of the bankrupt entities to satisfy their claims from the combined assets of the consolidated entities, including the Company.</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a bankruptcy of Caesars Entertainment or its subsidiaries (other than the Company and its subsidiaries), there can be no assurance that a bankruptcy court will not direct the Company’s or any of its subsidiaries’ substantive consolidation with Caesars Entertainment or a subsidiary of Caesars Entertainment in a bankruptcy case of Caesars Entertainment or such subsidiary, even if the Company or its subsidiaries do not themselves file a bankruptcy petition. The Company’s or its subsidiaries’ substantive consolidation with Caesars Entertainment or its subsidiaries in their bankruptcy cases would, among other things, allow the creditors of the bankrupt entities to satisfy their claims from the combined assets of the consolidated entities, including the Company and its subsidiaries. This may dilute the value of distributions available for recovery to the Company’s creditors if the combined creditor claims exceed the combined value of the entities. In addition, substantive consolidation with Caesars Entertainment or its subsidiaries’ bankruptcies may subject our assets and operations to the automatic stay, and may impair the Company’s ability to operate independently, as well as otherwise restrict our operations and capacity to function as a standalone enterprise.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PRIVATE SECURITIES LITIGATION REFORM ACT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contains or may contain “forward-looking statements” intended to qualify for the safe harbor from liability established by the Private Securities Litigation Reform Act of 1995. These statements can be identified by the fact that they do not relate strictly to historical or current facts. We have based these forward-looking statements on our current expectations about future events. Further, statements that include words such as “may,” “will,” “project,” “might,” “expect,” “believe,” “anticipate,” “intend,” “could,” “would,” “estimate,” “continue,” “present,” or “pursue,” or the negative of these words or other words or expressions of similar meaning may identify forward-looking statements. These forward-looking statements are found at various places throughout this report. These forward-looking statements, including, without limitation, those relating to future actions, new projects, strategies, future performance, the outcome of contingencies such as legal proceedings, and future financial results, wherever they occur in this report, are necessarily estimates reflecting the best judgment of our management and involve a number of risks and uncertainties that could cause actual results to differ materially from those suggested by the forward-looking statements. These forward-looking statements should, therefore, be considered in light of various important factors set forth above and from time to time in our filings with the Securities and Exchange Commission.</w:t>
      </w: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risk factors set forth above, important factors that could cause actual results to differ materially from estimates or projections contained in the forward-looking statements include without limitation:</w:t>
      </w:r>
    </w:p>
    <w:p>
      <w:pPr>
        <w:spacing w:after="0" w:line="292" w:lineRule="exact"/>
        <w:rPr>
          <w:sz w:val="20"/>
          <w:szCs w:val="20"/>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respond to changes in the industry, particularly digital transformation, and to take advantage of the opportunity for legalized sports betting in multiple jurisdictions in the United States (which may require third-party arrangements and/or regulatory approval);</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our announced convention center in Las Vegas, CAESARS FORUM, and certain of our other announced projects are subject to risks associated with new construction projects, including those described below;</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realize the anticipated benefits of our acquisition of Centaur, including anticipated benefits from introducing table games to the acquired properties, which is subject to approvals and may not occur;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our substantial indebtedness, including its impact on our ability to raise additional capital in the future and react to changes in the economy, and lease obligations and the restrictions in our debt and lease agreements;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effects of local and national economic, credit and capital market conditions on the economy, in general, and on the gaming industry, in particular;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compete against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reductions in consumer discretionary spending due to economic downturns or other factors and changes in consumer demands;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realize improvements in our business and results of operations through our property renovation investments, technology deployments, business process improvement initiatives and other continuous improvement initiatives;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all of the anticipated benefits of current or potential future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the Las Vegas market and lack of geographical diversification;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dependence on the success of third parties adjacent to our properties to generate revenue for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in the completion of projects neighboring our properties that are expected to be beneficial to our properties;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access available and reasonable financing or additional capital on a timely basis and on acceptable terms or at all, including our ability to refinance our indebtedness on acceptable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consumer demand for non-gaming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abnormal gaming holds (“gaming hold” is the amount of money that is retained by the casino from wagers by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recoup costs of capital investments through higher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possibility that we may not be able to host the World Series of Poker’s Main Event and the resulting negative impact on our revenues;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attract, retain and motivate employees, including in connection with Caesars Entertainment’s Chief Executive Officer transition;</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performers or other entertainment offerings on acceptable terms or at all;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of fraud, theft and cheating;</w:t>
      </w:r>
    </w:p>
    <w:p>
      <w:pPr>
        <w:spacing w:after="0" w:line="171"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 and damages caused to our brands or the Planet Hollywood brand due to the unauthorized use of our brand names or, in the case of Planet Hollywood, the license being used by third-parties in ways outside of our control;</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timely and cost-effectively integrate companies that we acquire into our operations;</w:t>
      </w:r>
    </w:p>
    <w:p>
      <w:pPr>
        <w:spacing w:after="0" w:line="17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execute on our brand licensing and management strategy is subject to third party agreements and other risks associated with new projects;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able to realize all of our anticipated cost savings;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fluctuations resulting in volatility and an adverse effect on our operating results;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impairments to goodwill, indefinite-lived intangible assets, or long-lived assets that we may incur;</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factors, including delays, increased costs of labor and materials, availability of labor and materials, zoning issues, environmental restrictions, soil and water conditions, weather and other hazards, site access matters, and building permit issues;</w:t>
      </w:r>
    </w:p>
    <w:p>
      <w:pPr>
        <w:spacing w:after="0" w:line="116"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acts of war or terrorist incidents, severe weather conditions, uprisings or natural disasters, including losses therefrom, losses in revenues and damage to property, and the impact of severe weather conditions on our ability to attract customers to certain facilities of ours;</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energy prices;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 stoppages and other labor problems;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collect on credit extended to our customers;</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adverse legal proceedings and judicial and governmental body actions, including gaming legislative action, referenda, regulatory disciplinary actions, and fines and taxation;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environmental and structural building conditions relating to our properties;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exposure to environmental liability, including as a result of unknown environmental contamination;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insurance for our assets on reasonable terms;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if any, of unfunded pension benefits under multi-employer pension plans;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disruption, failure, or breach of our network, information systems, or other technology, or those of our vendors, on which we are dependent;</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and costs associated with protecting the integrity and security of internal, employee, and customer data;</w:t>
      </w:r>
    </w:p>
    <w:p>
      <w:pPr>
        <w:spacing w:after="0" w:line="171"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extensive governmental regulations to which we are subject and (i) changes in laws, including increased tax rates, smoking bans, regulations, or accounting standards; (ii) third-party relations; and (iii) approvals, decisions, disciplines and fines of courts, regulators, and governmental bodies;</w:t>
      </w:r>
    </w:p>
    <w:p>
      <w:pPr>
        <w:spacing w:after="0" w:line="12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extensive laws and regulations to which we are subject, including applicable gaming laws and other anti-corruption laws and the Bank Secrecy Act and other anti-money laundering laws;</w:t>
      </w:r>
    </w:p>
    <w:p>
      <w:pPr>
        <w:spacing w:after="0" w:line="116"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management of Caesars Entertainment, CEOC LLC and CES to render services to us and operate our properties, and provide us with access to intellectual property rights, the Caesars Rewards customer loyalty program, customer databases and other services, rights and information;</w:t>
      </w:r>
    </w:p>
    <w:p>
      <w:pPr>
        <w:spacing w:after="0" w:line="2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8"/>
          </w:cols>
          <w:pgMar w:left="572" w:top="530" w:right="239" w:bottom="1440" w:gutter="0" w:footer="0" w:header="0"/>
        </w:sectPr>
      </w:pPr>
    </w:p>
    <w:bookmarkStart w:id="29" w:name="page30"/>
    <w:bookmarkEnd w:id="29"/>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differences in our interests and those of our ultimate parent entity, Caesars Entertainment or its other subsidiaries, including CEOC LLC;</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Caesars Entertainment to protect the trademarks that are licensed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CEOC LLC’s emergence from bankruptcy;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set forth under Item 1A, “Risk Factors.”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report. We undertake no obligation to publicly update or release any revisions to these forward-looking statements to reflect events or circumstances after the date of this report or to reflect the occurrence of unanticipated events, except as required by law.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1B. Unresolved Staff Comments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Properties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following are our properties. All amounts are approximations.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Casino Space–</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Slot</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Table</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Hotel Rooms</w:t>
            </w:r>
          </w:p>
        </w:tc>
      </w:tr>
      <w:tr>
        <w:trPr>
          <w:trHeight w:val="210"/>
        </w:trPr>
        <w:tc>
          <w:tcPr>
            <w:tcW w:w="40" w:type="dxa"/>
            <w:vAlign w:val="bottom"/>
          </w:tcPr>
          <w:p>
            <w:pPr>
              <w:spacing w:after="0"/>
              <w:rPr>
                <w:sz w:val="18"/>
                <w:szCs w:val="18"/>
                <w:color w:val="auto"/>
              </w:rPr>
            </w:pPr>
          </w:p>
        </w:tc>
        <w:tc>
          <w:tcPr>
            <w:tcW w:w="3520" w:type="dxa"/>
            <w:vAlign w:val="bottom"/>
            <w:gridSpan w:val="4"/>
          </w:tcPr>
          <w:p>
            <w:pPr>
              <w:spacing w:after="0"/>
              <w:rPr>
                <w:sz w:val="20"/>
                <w:szCs w:val="20"/>
                <w:color w:val="auto"/>
              </w:rPr>
            </w:pPr>
            <w:r>
              <w:rPr>
                <w:rFonts w:ascii="Arial" w:cs="Arial" w:eastAsia="Arial" w:hAnsi="Arial"/>
                <w:sz w:val="16"/>
                <w:szCs w:val="16"/>
                <w:b w:val="1"/>
                <w:bCs w:val="1"/>
                <w:color w:val="auto"/>
              </w:rPr>
              <w:t>Property</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Sq. Ft.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Machines</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Games</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&amp; Suites</w:t>
            </w:r>
          </w:p>
        </w:tc>
      </w:tr>
      <w:tr>
        <w:trPr>
          <w:trHeight w:val="33"/>
        </w:trPr>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3520" w:type="dxa"/>
            <w:vAlign w:val="bottom"/>
            <w:gridSpan w:val="4"/>
            <w:shd w:val="clear" w:color="auto" w:fill="CCEEFF"/>
          </w:tcPr>
          <w:p>
            <w:pPr>
              <w:spacing w:after="0"/>
              <w:rPr>
                <w:sz w:val="20"/>
                <w:szCs w:val="20"/>
                <w:color w:val="auto"/>
              </w:rPr>
            </w:pPr>
            <w:r>
              <w:rPr>
                <w:rFonts w:ascii="Arial" w:cs="Arial" w:eastAsia="Arial" w:hAnsi="Arial"/>
                <w:sz w:val="16"/>
                <w:szCs w:val="16"/>
                <w:i w:val="1"/>
                <w:iCs w:val="1"/>
                <w:color w:val="auto"/>
              </w:rPr>
              <w:t>Owned</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Bally's Las Vegas</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68,400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The Cromwell</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Flamingo Las Vegas</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73,000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3,460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Harrah's Atlantic City</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156,300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w:t>
            </w: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Harrah's Laughlin</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1,510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Harrah's New Orleans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New Orleans, LA</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r>
      <w:tr>
        <w:trPr>
          <w:trHeight w:val="270"/>
        </w:trPr>
        <w:tc>
          <w:tcPr>
            <w:tcW w:w="40" w:type="dxa"/>
            <w:vAlign w:val="bottom"/>
          </w:tcPr>
          <w:p>
            <w:pPr>
              <w:spacing w:after="0"/>
              <w:rPr>
                <w:sz w:val="23"/>
                <w:szCs w:val="23"/>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(1)</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Anderson, IN</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54,000</w:t>
            </w:r>
          </w:p>
        </w:tc>
        <w:tc>
          <w:tcPr>
            <w:tcW w:w="12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1,710</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 w:type="dxa"/>
            <w:vAlign w:val="bottom"/>
            <w:tcBorders>
              <w:right w:val="single" w:sz="8" w:color="CCEEFF"/>
            </w:tcBorders>
          </w:tcPr>
          <w:p>
            <w:pPr>
              <w:spacing w:after="0"/>
              <w:rPr>
                <w:sz w:val="23"/>
                <w:szCs w:val="23"/>
                <w:color w:val="auto"/>
              </w:rPr>
            </w:pPr>
          </w:p>
        </w:tc>
        <w:tc>
          <w:tcPr>
            <w:tcW w:w="35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(2)</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Shelbyville, IN</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2,070</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The LINQ Hotel &amp; Casino</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32,900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2,250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5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 xml:space="preserve">The LINQ Promenade </w:t>
            </w:r>
            <w:r>
              <w:rPr>
                <w:rFonts w:ascii="Arial" w:cs="Arial" w:eastAsia="Arial" w:hAnsi="Arial"/>
                <w:sz w:val="21"/>
                <w:szCs w:val="21"/>
                <w:i w:val="1"/>
                <w:iCs w:val="1"/>
                <w:color w:val="auto"/>
                <w:vertAlign w:val="superscript"/>
              </w:rPr>
              <w:t>(3)</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Paris Las Vegas</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95,300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2,920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Planet Hollywood Resort &amp; Casino</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r>
      <w:tr>
        <w:trPr>
          <w:trHeight w:val="237"/>
        </w:trPr>
        <w:tc>
          <w:tcPr>
            <w:tcW w:w="40" w:type="dxa"/>
            <w:vAlign w:val="bottom"/>
          </w:tcPr>
          <w:p>
            <w:pPr>
              <w:spacing w:after="0"/>
              <w:rPr>
                <w:sz w:val="20"/>
                <w:szCs w:val="20"/>
                <w:color w:val="auto"/>
              </w:rPr>
            </w:pPr>
          </w:p>
        </w:tc>
        <w:tc>
          <w:tcPr>
            <w:tcW w:w="3520" w:type="dxa"/>
            <w:vAlign w:val="bottom"/>
            <w:gridSpan w:val="4"/>
          </w:tcPr>
          <w:p>
            <w:pPr>
              <w:ind w:left="140"/>
              <w:spacing w:after="0"/>
              <w:rPr>
                <w:sz w:val="20"/>
                <w:szCs w:val="20"/>
                <w:color w:val="auto"/>
              </w:rPr>
            </w:pPr>
            <w:r>
              <w:rPr>
                <w:rFonts w:ascii="Arial" w:cs="Arial" w:eastAsia="Arial" w:hAnsi="Arial"/>
                <w:sz w:val="16"/>
                <w:szCs w:val="16"/>
                <w:color w:val="auto"/>
              </w:rPr>
              <w:t>Rio All-Suites Hotel &amp; Casino</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117,300</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2,520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40" w:type="dxa"/>
            <w:vAlign w:val="bottom"/>
            <w:tcBorders>
              <w:right w:val="single" w:sz="8" w:color="CCEEFF"/>
            </w:tcBorders>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3520" w:type="dxa"/>
            <w:vAlign w:val="bottom"/>
            <w:gridSpan w:val="4"/>
          </w:tcPr>
          <w:p>
            <w:pPr>
              <w:spacing w:after="0"/>
              <w:rPr>
                <w:sz w:val="20"/>
                <w:szCs w:val="20"/>
                <w:color w:val="auto"/>
              </w:rPr>
            </w:pPr>
            <w:r>
              <w:rPr>
                <w:rFonts w:ascii="Arial" w:cs="Arial" w:eastAsia="Arial" w:hAnsi="Arial"/>
                <w:sz w:val="16"/>
                <w:szCs w:val="16"/>
                <w:i w:val="1"/>
                <w:iCs w:val="1"/>
                <w:color w:val="auto"/>
              </w:rPr>
              <w:t>Leased from VICI Properties Inc.</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Harrah's Las Vegas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r>
      <w:tr>
        <w:trPr>
          <w:trHeight w:val="23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Hoosier Park includes operations of our off-track betting locations, Winner’s Circle Indianapolis and Winner’s Circle New Haven.</w:t>
      </w:r>
    </w:p>
    <w:p>
      <w:pPr>
        <w:spacing w:after="0" w:line="13" w:lineRule="exact"/>
        <w:rPr>
          <w:rFonts w:ascii="Arial" w:cs="Arial" w:eastAsia="Arial" w:hAnsi="Arial"/>
          <w:sz w:val="9"/>
          <w:szCs w:val="9"/>
          <w:i w:val="1"/>
          <w:iCs w:val="1"/>
          <w:color w:val="auto"/>
        </w:rPr>
      </w:pPr>
    </w:p>
    <w:p>
      <w:pPr>
        <w:ind w:left="340" w:hanging="332"/>
        <w:spacing w:after="0"/>
        <w:tabs>
          <w:tab w:leader="none" w:pos="3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Indiana Grand includes operations of our off-track betting location, Winner’s Circle Clarksville.</w:t>
      </w:r>
    </w:p>
    <w:p>
      <w:pPr>
        <w:spacing w:after="0" w:line="1" w:lineRule="exact"/>
        <w:rPr>
          <w:rFonts w:ascii="Arial" w:cs="Arial" w:eastAsia="Arial" w:hAnsi="Arial"/>
          <w:sz w:val="9"/>
          <w:szCs w:val="9"/>
          <w:i w:val="1"/>
          <w:iCs w:val="1"/>
          <w:color w:val="auto"/>
        </w:rPr>
      </w:pPr>
    </w:p>
    <w:p>
      <w:pPr>
        <w:ind w:left="340" w:hanging="332"/>
        <w:spacing w:after="0" w:line="255" w:lineRule="auto"/>
        <w:tabs>
          <w:tab w:leader="none" w:pos="3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LINQ Promenade is an open-air dining, entertainment, and retail promenade located on the east side of the Las Vegas Strip. It also features the High Roller, a 550-foot observation wheel, and the Fly LINQ Zipline attraction.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Legal Proceedings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are a defendant in various lawsuits or other legal proceedings relating to matters incidental to our business. Some of these matters involve commercial or contractual disputes, intellectual property claims, legal compliance, personal injury claims, and employment claims. As with all legal proceedings, no assurance can be provided as to the outcome of these matters and in general, legal proceedings can be expensive and time consuming. We may not be successful in the defense or prosecution of these lawsuits, which could result in settlements or damages that could significantly impact our business, financial condition, and results of operations. See Note 10 for full details of the litigation matters.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30" w:right="239" w:bottom="1440" w:gutter="0" w:footer="0" w:header="0"/>
          <w:type w:val="continuous"/>
        </w:sectPr>
      </w:pPr>
    </w:p>
    <w:bookmarkStart w:id="30" w:name="page31"/>
    <w:bookmarkEnd w:id="30"/>
    <w:p>
      <w:pPr>
        <w:jc w:val="center"/>
        <w:spacing w:after="0"/>
        <w:rPr>
          <w:rFonts w:ascii="Arial" w:cs="Arial" w:eastAsia="Arial" w:hAnsi="Arial"/>
          <w:sz w:val="22"/>
          <w:szCs w:val="22"/>
          <w:b w:val="1"/>
          <w:bCs w:val="1"/>
          <w:color w:val="BF2115"/>
        </w:rPr>
      </w:pPr>
      <w:hyperlink w:anchor="page6">
        <w:r>
          <w:rPr>
            <w:rFonts w:ascii="Arial" w:cs="Arial" w:eastAsia="Arial" w:hAnsi="Arial"/>
            <w:sz w:val="22"/>
            <w:szCs w:val="22"/>
            <w:b w:val="1"/>
            <w:bCs w:val="1"/>
            <w:color w:val="BF2115"/>
          </w:rPr>
          <w:t xml:space="preserve">PART </w:t>
        </w:r>
      </w:hyperlink>
      <w:r>
        <w:rPr>
          <w:rFonts w:ascii="Arial" w:cs="Arial" w:eastAsia="Arial" w:hAnsi="Arial"/>
          <w:sz w:val="22"/>
          <w:szCs w:val="22"/>
          <w:b w:val="1"/>
          <w:bCs w:val="1"/>
          <w:color w:val="BF2115"/>
        </w:rPr>
        <w:t>II</w:t>
      </w:r>
    </w:p>
    <w:p>
      <w:pPr>
        <w:spacing w:after="0" w:line="382" w:lineRule="exact"/>
        <w:rPr>
          <w:sz w:val="20"/>
          <w:szCs w:val="20"/>
          <w:color w:val="auto"/>
        </w:rPr>
      </w:pPr>
    </w:p>
    <w:p>
      <w:pPr>
        <w:ind w:left="980" w:hanging="971"/>
        <w:spacing w:after="0" w:line="269" w:lineRule="auto"/>
        <w:rPr>
          <w:sz w:val="20"/>
          <w:szCs w:val="20"/>
          <w:color w:val="auto"/>
        </w:rPr>
      </w:pPr>
      <w:r>
        <w:rPr>
          <w:rFonts w:ascii="Arial" w:cs="Arial" w:eastAsia="Arial" w:hAnsi="Arial"/>
          <w:sz w:val="22"/>
          <w:szCs w:val="22"/>
          <w:b w:val="1"/>
          <w:bCs w:val="1"/>
          <w:color w:val="BF2115"/>
        </w:rPr>
        <w:t>ITEM 5. Market for the Company’s Common Equity, Related Stockholder Matters and Issuer Purchases of Equity Securities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CRC was created on December 22, 2017 with the merger of CERP and CGPH. CRC is a wholly owned subsidiary of Caesars Growth Partners, LLC, which is a wholly owned subsidiary of CEC. Accordingly, there is no established public trading market for our equity interests.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CRC had one shareholder of record as of February 21, 2019.</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6.  Selected Financial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 has been omitted from this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9" w:right="239" w:bottom="1440" w:gutter="0" w:footer="0" w:header="0"/>
        </w:sectPr>
      </w:pPr>
    </w:p>
    <w:bookmarkStart w:id="31" w:name="page32"/>
    <w:bookmarkEnd w:id="31"/>
    <w:p>
      <w:pPr>
        <w:spacing w:after="0"/>
        <w:tabs>
          <w:tab w:leader="none" w:pos="1000" w:val="left"/>
        </w:tabs>
        <w:rPr>
          <w:sz w:val="20"/>
          <w:szCs w:val="20"/>
          <w:color w:val="auto"/>
        </w:rPr>
      </w:pPr>
      <w:r>
        <w:rPr>
          <w:rFonts w:ascii="Arial" w:cs="Arial" w:eastAsia="Arial" w:hAnsi="Arial"/>
          <w:sz w:val="22"/>
          <w:szCs w:val="22"/>
          <w:b w:val="1"/>
          <w:bCs w:val="1"/>
          <w:color w:val="BF2115"/>
        </w:rPr>
        <w:t>ITEM 7.</w:t>
      </w:r>
      <w:r>
        <w:rPr>
          <w:sz w:val="20"/>
          <w:szCs w:val="20"/>
          <w:color w:val="auto"/>
        </w:rPr>
        <w:tab/>
      </w:r>
      <w:r>
        <w:rPr>
          <w:rFonts w:ascii="Arial" w:cs="Arial" w:eastAsia="Arial" w:hAnsi="Arial"/>
          <w:sz w:val="19"/>
          <w:szCs w:val="19"/>
          <w:b w:val="1"/>
          <w:bCs w:val="1"/>
          <w:color w:val="BF2115"/>
        </w:rPr>
        <w:t>Management’s Discussion and Analysis of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 this report, the name “CRC LLC” refers to the parent holding company, Caesars Resort Collection, LLC, exclusive of its consolidated subsidiaries and variable interest entities, unless otherwise stated or the context otherwise requires. The words “CRC,” “Company,” “we,” “our,” and “us” refer to Caesars Resort Collection, LLC, inclusive of its consolidated subsidiaries and variable interest entities, unless otherwise stated or the context otherwise requires.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Comprehensive Income/(Loss)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and other financial information included elsewhere in this report. 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Item 1A, “Risk Factors—PRIVATE SECURITIES LITIGATION REFORM ACT,” of this report.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BF2115"/>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CRC LLC is a Delaware limited liability company and wholly owned by Caesars Entertainment Corporation (“CEC,” “Caesars,” and “Caesars Entertainment”). CRC was created on December 22, 2017, with the merger of Caesars Entertainment Resort Properties, LLC (“CERP”) into Caesars Growth Properties Holdings, LLC (“CGPH”) (the “CRC Merger”).</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CRC’s properties operate under well-known brands and include Bally’s Las Vegas, The Cromwell, Flamingo Las Vegas, Harrah’s Atlantic City, Harrah’s Laughlin, Harrah’s New Orleans, Hoosier Park, Indiana Grand, The LINQ Hotel &amp; Casino, The LINQ Promenade, Paris Las Vegas, Planet Hollywood Resort</w:t>
      </w:r>
    </w:p>
    <w:p>
      <w:pPr>
        <w:jc w:val="both"/>
        <w:ind w:firstLine="8"/>
        <w:spacing w:after="0" w:line="255"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Casino (“Planet Hollywood”), Rio All-Suites Hotel &amp; Casino (“Rio Las Vegas”), and Harrah’s Las Vegas. CRC leases Harrah’s Las Vegas from VICI Properties Inc. and/or its subsidiaries (collectively, “VICI”), the real estate investment trust that holds certain real property assets formerly held by Caesars Entertainment Operating Company, Inc. (“CEOC”).</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view each property as an operating segment and aggregate such properties into one reportable segment, which is consistent with how we manage the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BF2115"/>
        </w:rPr>
        <w:t>Summary of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significant events and drivers of performance for 2018. Accordingly, the remainder of the discussion and analysis of results should be read in conjunction with this summary.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Centaur Holdings, LLC</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16, 2018, we completed the acquisition of Centaur Holdings, LLC (“Centaur”). Centaur operated Hoosier Park Racing &amp; Casino in Anderson, Indiana, and Indiana Grand Racing &amp; Casino in Shelbyville, Indiana. See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Octavius Tower at Caesars Palace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2018, we sold Octavius Tower at Caesars Palace (“Octavius Tower”) to VICI for $508 million in cash. The sale was contingent on CEC completing the sale of the land and real property improvements used in the operation of Harrah’s Philadelphia Casino and Racetrack (“Harrah’s Philadelphia”) to VICI and modifying certain existing lease agreements with VICI. On December 26, 2018, the sale of Harrah’s Philadelphia was completed and modifications to certain of our existing lease agreements with VICI were consummated. As a result, on December 26, 2018, we derecognized the Octavius Tower real estate assets and financing obligation and recognized a gain on sale of $271 million. Proceeds from the transaction were used to partially fund the closing of CRC’s acquisition of Centaur.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On January 1, 2018, we adopted the new accounting standard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all related amendments using the full retrospective method and have recast revenue and expenses for all prior periods presented. See Note 12 for additional information.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1" w:right="239" w:bottom="1440" w:gutter="0" w:footer="0" w:header="0"/>
        </w:sectPr>
      </w:pPr>
    </w:p>
    <w:bookmarkStart w:id="32" w:name="page33"/>
    <w:bookmarkEnd w:id="32"/>
    <w:p>
      <w:pPr>
        <w:ind w:left="4240"/>
        <w:spacing w:after="0"/>
        <w:rPr>
          <w:sz w:val="20"/>
          <w:szCs w:val="20"/>
          <w:color w:val="auto"/>
        </w:rPr>
      </w:pPr>
      <w:r>
        <w:rPr>
          <w:rFonts w:ascii="Arial" w:cs="Arial" w:eastAsia="Arial" w:hAnsi="Arial"/>
          <w:sz w:val="22"/>
          <w:szCs w:val="22"/>
          <w:b w:val="1"/>
          <w:bCs w:val="1"/>
          <w:color w:val="BF2115"/>
        </w:rPr>
        <w:t>Discussion of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Key Drivers of Consolidated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discussion and analysis of the results of operations and key metrics focusing on the key drivers of performance.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1"/>
              </w:rPr>
              <w:t>Years Ended December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Fav/(Unfav) Change %</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2018 vs 2017</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 vs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Casino</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Food and beverage</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33"/>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3,592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income/(loss)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i w:val="1"/>
                <w:iCs w:val="1"/>
                <w:color w:val="auto"/>
                <w:vertAlign w:val="superscript"/>
              </w:rPr>
              <w:t>(1)</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Operating margin </w:t>
            </w:r>
            <w:r>
              <w:rPr>
                <w:rFonts w:ascii="Arial" w:cs="Arial" w:eastAsia="Arial" w:hAnsi="Arial"/>
                <w:sz w:val="21"/>
                <w:szCs w:val="21"/>
                <w:i w:val="1"/>
                <w:iCs w:val="1"/>
                <w:color w:val="auto"/>
                <w:vertAlign w:val="superscript"/>
              </w:rPr>
              <w:t>(2)</w:t>
            </w: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5.2 pts</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 pts</w:t>
            </w:r>
          </w:p>
        </w:tc>
      </w:tr>
      <w:tr>
        <w:trPr>
          <w:trHeight w:val="250"/>
        </w:trPr>
        <w:tc>
          <w:tcPr>
            <w:tcW w:w="4000" w:type="dxa"/>
            <w:vAlign w:val="bottom"/>
            <w:gridSpan w:val="3"/>
          </w:tcPr>
          <w:p>
            <w:pPr>
              <w:ind w:left="20"/>
              <w:spacing w:after="0"/>
              <w:rPr>
                <w:sz w:val="20"/>
                <w:szCs w:val="20"/>
                <w:color w:val="auto"/>
              </w:rPr>
            </w:pPr>
            <w:r>
              <w:rPr>
                <w:rFonts w:ascii="Arial" w:cs="Arial" w:eastAsia="Arial" w:hAnsi="Arial"/>
                <w:sz w:val="20"/>
                <w:szCs w:val="20"/>
                <w:color w:val="auto"/>
              </w:rPr>
              <w:t>___________________</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13" w:lineRule="exact"/>
        <w:rPr>
          <w:sz w:val="20"/>
          <w:szCs w:val="20"/>
          <w:color w:val="auto"/>
        </w:rPr>
      </w:pPr>
    </w:p>
    <w:p>
      <w:pPr>
        <w:ind w:left="340" w:hanging="332"/>
        <w:spacing w:after="0" w:line="241" w:lineRule="auto"/>
        <w:tabs>
          <w:tab w:leader="none" w:pos="340"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of Non-GAAP Financial Measures” discussion later in this Management’s Discussion and Analysis of Financial Condition and Results of Operations for a reconciliation of Adjusted EBITDA.</w:t>
      </w:r>
    </w:p>
    <w:p>
      <w:pPr>
        <w:ind w:left="340" w:hanging="332"/>
        <w:spacing w:after="0"/>
        <w:tabs>
          <w:tab w:leader="none" w:pos="340"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Operating margin is calculated as income from operations divided by net revenues.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versus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increased $219 million, or 6.1%, in 2018 compared with 2017 primarily due to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Casino revenues increased $178 million, or 13.3%, primarily due to the acquisition of Centaur, which contributed $209 million. This was partially offset by a decrease in the Las Vegas region primarily due to higher complimentaries.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revenue increased $34 million, or 6.7%, in 2018 compared with 2017 primarily due to increases in valet and self-parking revenues as well as increases in retail and lease revenues at certain Las Vegas properties.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Rooms revenues increased $5 million, or 0.5%, in 2018 compared with 2017 primarily due an increase in resort fees revenue in the Las Vegas region.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versus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increased $90 million, or 2.6%, in 2017 compared with 2016, primarily due to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Casino revenues increased $55 million, or 4.3%, in 2017 compared with 2016 primarily resulting from increases in gaming volume and gross casino hold.</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Rooms revenues increased $5 million, or 0.5%, in 2017 compared with 2016 resulting from an increase in resort fees and occupancy rates, as well as improved hotel yield. Rooms revenues also benefitted from completed room renovations at certain properties in Las Vegas, which resulted in an increase in cash average daily rate to $142 in 2017.</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revenue increased $35 million, or 7.4%, in 2017 compared with 2016 primarily due to revenue from valet and self-parking fees that were fully implemented in Las Vegas in April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decreased $10 million, or 0.3%, in 2018 compared with 2017 primarily due to the gain on sale recognized for the Octavius Tower of $271 million and partially offset by the acquisition of Centaur which contributed $177 million. In addition to the effect of Octavius Tower and Centaur, operating expenses increased $84 million primarily due to the following:</w:t>
      </w:r>
    </w:p>
    <w:p>
      <w:pPr>
        <w:spacing w:after="0" w:line="12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operating costs increased $48 million primarily due to $20 million related to lease termination costs, a $10 million loss on asset sales in 2018 and $8 million in acquisition costs for Centaur.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expense increased $45 million primarily due to increases in corporate overhead in 2018.</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increased $21 million primarily due to significant additions to property and equipment that began depreciating upon the completion of major renovation projects at certain Las Vegas properties in 2018.</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increases were partially offset by a decrease of $39 million in direct expenses primarily due to operating efficiencies driven by lower marketing and labor costs.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$122 million, or 4.2%, in 2017 compared to 2016, primarily due to an increase in depreciation, amortization, and other attributable to property renovations; demolition costs related to ongoing renovations and exit fees payable to NV Energy (see Note 10); and an increase in direct casino and rooms expenses attributable to the increases in the related revenues.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Net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Fav/(Unfav) Change %</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2018 vs 2017</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2017 vs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support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50"/>
        </w:trPr>
        <w:tc>
          <w:tcPr>
            <w:tcW w:w="4120" w:type="dxa"/>
            <w:vAlign w:val="bottom"/>
            <w:gridSpan w:val="3"/>
          </w:tcPr>
          <w:p>
            <w:pPr>
              <w:ind w:left="20"/>
              <w:spacing w:after="0"/>
              <w:rPr>
                <w:sz w:val="20"/>
                <w:szCs w:val="20"/>
                <w:color w:val="auto"/>
              </w:rPr>
            </w:pPr>
            <w:r>
              <w:rPr>
                <w:rFonts w:ascii="Arial" w:cs="Arial" w:eastAsia="Arial" w:hAnsi="Arial"/>
                <w:sz w:val="20"/>
                <w:szCs w:val="20"/>
                <w:color w:val="auto"/>
              </w:rPr>
              <w:t>___________________</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decreased $105 million in 2018 compared with 2017 primarily due to the refinancing of the previously outstanding debt which reduced the interest rate margins in the second quarter of 2017 as well as repayment of loans in 2017. The reduction in interest expense pertaining to these debt instruments was $184 million in 2018 compared with 2017. These decreases were partially offset by an increase of $89 million in interest expense in 2018 related to our lease agreement with VICI that is accounted for as a failed sale-leaseback financing obligation and accreted interest on the Octavius Tower failed sale financing obligation prior to the recognition of sale on December 26, 2018, which were not outstanding during 2017.</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in 2017 compared with 2016 primarily due to the refinancing of the previously outstanding CGPH and CERP debt in the second quarter of 2017 which reduced the interest rate margins.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losses on extinguishment of debt totaling $219 million in 2017 relating to early debt redemption charges as well as the write-off of debt discounts and deferred financing costs associated with the extinguishment of the outstanding debt of CGPH and CERP in conjunction with the refinancing during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Support Expenses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described in Note 8, upon CEOC’s emergence from bankruptcy on October 6, 2017, VICI received a call right (the “VICI Call Right”) for up to five years to purchase the real property assets associated with Harrah’s Atlantic City, Harrah’s Laughlin and Harrah’s New Orleans from CRC. Because we believed it was probable that this obligation as described in CEOC’s plan of reorganization would ultimately be settled by CEC, we accrued $131 million related to this item in the year ended December 31, 2016 and a further fair value adjustment of $46 million during the year ended December 31, 2017. On October 6, 2017, the VICI Call Right was transferred to Accrued expenses and other current liabilities on our Balance Sheet.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Income Tax Benefit/(Provision)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CGPH income subsequent to May 2014 was not tax impacted at the CGPH level as CGPH became a disregarded entity for income tax purposes starting in May 2014 and was treated as a flow through entity for income tax purposes. At the time of the CRC Merger, CRC made a “check-the-box” election to be treated as a corporation for income tax purposes.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effective tax rates were 19.5% for 2018, 110.6% for 2017, and 44.1% for 2016. The effective tax rate in 2018 differed from the statutory rate of 21% primarily due to additional deferred tax benefits from the Tax Act (defined below) passed in 2017 offset by state income taxes. The effective tax rate in 2017 differed from the statutory rate of 35% primarily due to the nontaxable income/loss from CGPH prior to the CRC Merger, the tax effect of the “check-the-box” election on CRC, and the Tax Act passed in 2017. The effective tax rate in 2016 differed from the statutory rate of 35% primarily due to the nontaxable income/loss from CGPH, state taxes, and the effect of tax credits. See Note 14 for a detailed discussion of income taxes and the effective tax rates.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our year ended December 31, 2017, including, but not limited to, reducing the U.S. federal corporate tax rate and bonus depreciation that will allow for full expensing of qualified property.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the Company has completed the accounting for the tax effects of the Tax Act. During the year ended December 31, 2017, the Company made a reasonable estimate of the effects on the existing deferred tax balances and accrued a provisional income tax benefit of approximately $218 million which was recorded in the period ended December 31, 2017. The Company revised its estimate of the effects on the existing deferred tax balances as of December 31, 2017, and accrued an additional provisional income tax benefit of $33 million. The total amount of the revised estimated income tax benefit includes (i) $209 million related to the net deferred tax benefit of the corporate rate reduction and (ii) $42 million relating to the net deferred tax benefit of state deferred tax assets which are now realizable due to the changing rules related to interest expense disallowance for those states which conform to the Tax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Tax Act, we expect the effective rate, in future years, to trend toward the newly enacted U.S. statutory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earnings before interest, taxes, depreciation and amortization (“EBITDA”) is presented as a measure of the Company’s performance. Adjusted EBITDA is defined as revenues less operating expenses and is comprised of net income/(loss) before (i) interest expense, net of interest capitalized and interest income, (ii) income tax (benefit)/provision, (iii) depreciation and amortization, (iv) corporate expenses, and (v) certain items that we do not consider indicative of its ongoing operating performance at an operating property level.</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is a non-GAAP financial measure commonly used in our industry and should not be construed as an alternative to net income/(loss) as an indicator of operating performance or as an alternative to cash flow provided by operating activities as a measure of liquidity (as determined in accordance with generally accepted accounting principles,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Reconciliation of Adjusted EBITDA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gridSpan w:val="6"/>
          </w:tcPr>
          <w:p>
            <w:pPr>
              <w:ind w:left="20"/>
              <w:spacing w:after="0"/>
              <w:rPr>
                <w:sz w:val="20"/>
                <w:szCs w:val="20"/>
                <w:color w:val="auto"/>
              </w:rPr>
            </w:pPr>
            <w:r>
              <w:rPr>
                <w:rFonts w:ascii="Arial" w:cs="Arial" w:eastAsia="Arial" w:hAnsi="Arial"/>
                <w:sz w:val="16"/>
                <w:szCs w:val="16"/>
                <w:b w:val="1"/>
                <w:bCs w:val="1"/>
                <w:color w:val="auto"/>
                <w:w w:val="89"/>
              </w:rPr>
              <w:t>Years Ended December 31,</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income/(loss)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Income tax (benefit)/provision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support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70"/>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 xml:space="preserve">Other operating costs </w:t>
            </w:r>
            <w:r>
              <w:rPr>
                <w:rFonts w:ascii="Arial" w:cs="Arial" w:eastAsia="Arial" w:hAnsi="Arial"/>
                <w:sz w:val="21"/>
                <w:szCs w:val="21"/>
                <w:i w:val="1"/>
                <w:iCs w:val="1"/>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Gain on sale of Octavius Tower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1,134</w:t>
            </w:r>
          </w:p>
        </w:tc>
        <w:tc>
          <w:tcPr>
            <w:tcW w:w="5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340" w:hanging="332"/>
        <w:spacing w:after="0" w:line="247" w:lineRule="auto"/>
        <w:tabs>
          <w:tab w:leader="none" w:pos="34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Amounts primarily represent costs incurred in connection with development activities and reorganization activities, and/or recoveries associated with such items, including acquisition and integration costs, contract exit fees including exiting the fully bundled sales system of NV Energy for electric service at our Nevada properties, lease termination costs, gains and losses on asset sales, demolition costs primarily at our Las Vegas properties for renovations, and project opening costs.</w:t>
      </w:r>
    </w:p>
    <w:p>
      <w:pPr>
        <w:spacing w:after="0" w:line="1" w:lineRule="exact"/>
        <w:rPr>
          <w:rFonts w:ascii="Arial" w:cs="Arial" w:eastAsia="Arial" w:hAnsi="Arial"/>
          <w:sz w:val="9"/>
          <w:szCs w:val="9"/>
          <w:i w:val="1"/>
          <w:iCs w:val="1"/>
          <w:color w:val="auto"/>
        </w:rPr>
      </w:pPr>
    </w:p>
    <w:p>
      <w:pPr>
        <w:ind w:left="340" w:right="20" w:hanging="332"/>
        <w:spacing w:after="0" w:line="255" w:lineRule="auto"/>
        <w:tabs>
          <w:tab w:leader="none" w:pos="34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Amounts include other add-backs and deductions to arrive at Adjusted EBITDA but not separately identified such as professional and consulting services, sign-on and retention bonuses, business optimization expenses for IT transformation, severance and relocation costs, and permit remediation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BF2115"/>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totaled $322 million and the total capacity available under our revolving credit facility was $900 million as of December 31, 2018. We generated a net income of $289 million during 2018, which includes $381 million due to the gain on sale of Octavius Tower and non-cash items such as depreciation and amortization. Our operating activities were relatively stable and yielded operating cash flows of $663 million, an increase of $146 million, or 28.2%, compared with the prior year period.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flows from operations are sufficient to cover planned capital expenditures for ongoing property renovations as well as estimated interest and principal payments due on long-term debt and our financing obligation during the next 12 months. However, if needed, our existing cash and cash equivalents and availability under our revolving credit facility is available to further support operations during the next 12 months and the foreseeable future. In addition, restrictions under our lending arrangements generally prevent the distribution of cash from our subsidiaries to CEC, except for certain restricted payments.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we paid $397 million in interest, which includes $326 million of interest associated with our debt and $71 million of interest related to our financing obligation.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2018, we completed our acquisition of Centaur for $1.7 billion, including $1.6 billion at closing and $75 million in deferred consideration. The funding for this acquisition was primarily from $1.1 billion in cash proceeds received from the sale of the real estate assets of Harrah’s Las Vegas to VICI in December 2017, approximately $500 million in cash proceeds received from the sale of the Octavius Tower to VICI in July 2018, and the use of $200 million of our revolving credit facility. See Note 4 for additional information.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fund our operations, pay our debt and financing obligations, and fund planned capital expenditures depends, in part, upon economic and other factors that are beyond our control, and disruptions in capital markets and restrictive covenants related to our existing debt could impact our ability to fund liquidity needs, pay indebtedness and financing obligations, and secure additional funds through financing activities.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assure you that our business will generate sufficient cash flows from operations, or that future borrowings will be available to us, to fund our liquidity needs and pay our indebtedness. If we are unable to meet our liquidity needs or pay our indebtedness when it is due, we may have to reduce or delay refurbishment and expansion projects, reduce expenses, sell assets, or attempt to restructure our debt. Any such actions could negatively impact our competitive position and revenue generation.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1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Debt Activity and Lease-Related Obligations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highly-leveraged company and had $6.5 billion in face value of debt outstanding and $1.1 billion in a failed sale-leaseback financing obligation as of December 31, 2018. As a result, a significant portion of our liquidity needs are for debt service, including significant interest and principal payments associated with our financing obligation for Harrah’s Las Vegas with VICI. As detailed in the table below, our estimated debt service (including principal and interest) is $497 million for 2019 and $8.1 billion thereafter to maturity and our estimated financing obligation is $88 million for 2019 and $2.8 billion thereafter to maturity.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Annual maturities of long-term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Estimated interest payments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Total debt service payments </w:t>
            </w:r>
            <w:r>
              <w:rPr>
                <w:rFonts w:ascii="Arial" w:cs="Arial" w:eastAsia="Arial" w:hAnsi="Arial"/>
                <w:sz w:val="21"/>
                <w:szCs w:val="21"/>
                <w:i w:val="1"/>
                <w:iCs w:val="1"/>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6,549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c>
          <w:tcPr>
            <w:tcW w:w="0" w:type="dxa"/>
            <w:vAlign w:val="bottom"/>
          </w:tcPr>
          <w:p>
            <w:pPr>
              <w:spacing w:after="0"/>
              <w:rPr>
                <w:sz w:val="1"/>
                <w:szCs w:val="1"/>
                <w:color w:val="auto"/>
              </w:rPr>
            </w:pPr>
          </w:p>
        </w:tc>
      </w:tr>
      <w:tr>
        <w:trPr>
          <w:trHeight w:val="21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Financing obligation - principal</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Financing obligation - interest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 xml:space="preserve">Total financing obligation payments </w:t>
            </w:r>
            <w:r>
              <w:rPr>
                <w:rFonts w:ascii="Arial" w:cs="Arial" w:eastAsia="Arial" w:hAnsi="Arial"/>
                <w:sz w:val="21"/>
                <w:szCs w:val="21"/>
                <w:i w:val="1"/>
                <w:iCs w:val="1"/>
                <w:color w:val="auto"/>
                <w:vertAlign w:val="superscript"/>
              </w:rPr>
              <w:t>(2)</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financing activities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11,477</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340" w:hanging="332"/>
        <w:spacing w:after="0" w:line="247" w:lineRule="auto"/>
        <w:tabs>
          <w:tab w:leader="none" w:pos="3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Debt principal payments are estimated amounts based on maturity dates and potential borrowings under our revolving credit facility. Interest payments are estimated based on the forward-looking London Interbank Offered Rate (“LIBOR”) curve and include the estimated impact of the ten interest rate swap agreements (see Note 7). Actual payments may differ from these estimates.</w:t>
      </w:r>
    </w:p>
    <w:p>
      <w:pPr>
        <w:spacing w:after="0" w:line="1" w:lineRule="exact"/>
        <w:rPr>
          <w:rFonts w:ascii="Arial" w:cs="Arial" w:eastAsia="Arial" w:hAnsi="Arial"/>
          <w:sz w:val="9"/>
          <w:szCs w:val="9"/>
          <w:i w:val="1"/>
          <w:iCs w:val="1"/>
          <w:color w:val="auto"/>
        </w:rPr>
      </w:pPr>
    </w:p>
    <w:p>
      <w:pPr>
        <w:ind w:left="340" w:right="20" w:hanging="332"/>
        <w:spacing w:after="0" w:line="255" w:lineRule="auto"/>
        <w:tabs>
          <w:tab w:leader="none" w:pos="3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Financing obligation principal and interest payments are estimated amounts based on the future minimum lease payments and certain estimates based on contingent rental payments (as described below under Lease-Related Obligations). Actual payments may differ from the estimates.</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continually evaluating opportunities to improve our capital structure and will seek to refinance our debt obligations or otherwise engage in transactions impacting our capital structure when market and other conditions are attractive to us. These transactions may involve refinancing or new senior credit facilities, tender or exchange offers, issuance of new bonds and/or sale-leasebacks.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Activity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proceeds received from draws on our revolving credit facilities was $700 million and cash paid to extinguish debt was $647 million. See Note 11 for additional information as well as a table presenting details on our individual borrowings outstanding, interest rates and restrictive covenants related to certain of our borrowings as of December 31, 2018 and 2017. See Note 7 for details regarding our use of interest rate swap derivatives to manage the mix of our debt between fixed and variable rate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Lease-Related Obligations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we sold certain real estate assets of Harrah’s Las Vegas to VICI and simultaneously entered into a lease agreement with VICI (the “HLV Lease”). The HLV Lease provides for fixed rent (subject to escalation) during an initial term, then rent consisting of both base rent and variable percentage rent elements, and has a 15-year initial term and four five-year renewal options. We assume the renewal is probable and include renewal commitments in the estimated financing obligation in the table above. In addition, the future lease payment amounts included in the table above represent the contractual lease payments adjusted for estimated escalations, as determined by the underlying lease agreement. The estimates are based on the terms and conditions known at the inception of the lease. However, a portion of the actual payments will be determined in the period in which they are due, and therefore, actual lease payments may differ from our estimates.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CRC determined that the transaction does not qualify for sale-leaseback accounting based on the terms of the lease agreement; therefore, the Company will be accounting for the transaction as a financing. We do not recognize rent expense related to the lease, but we have recorded a liability for the financing obligation and the majority of the periodic lease payments are recognized as interest expense.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exceptions, the payment of all monetary obligations under the HLV Lease is guaranteed by CRC. See Note 9 for further details around the financing obligation.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Capital Spending and Development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 capital expenditures in the normal course of business and we perform ongoing refurbishment and maintenance at our existing properties to maintain our quality standards. We also continue to pursue development and acquisition opportunities for additional casino entertainment and other hospitality facilities that meet our strategic and return on investment criteria. Cash used for capital expenditures in the normal course of business is typically made available from cash flows generated by our operating activities, while cash used for development projects is typically funded from established debt programs, specific project financing, and additional debt offerings.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Capital expenditures were $405 million during the 2018 period in support of our ongoing property renovations, a decrease of $59 million, or 12.7%, compared with the prior year period. Our projected capital expenditures for 2019 are estimated to be $450 million to $550 million primarily for the development of CAESARS FORUM. Under the HLV Lease, we are required to spend certain minimum amounts on capital expenditures.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planned development projects, if they proceed, will require significant capital commitments, individually and in the aggregate, and, if completed, may result in significant additional revenues. The commitment of capital, the timing of completion, and the commencement of operations of development projects are contingent upon, among other things, negotiation of final agreements and receipt of approvals from the appropriate political and regulatory bodies. We must also comply with covenants and restrictions set forth in our debt agreements.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various risks and uncertainties and the expected capital expenditures set forth above may change for various reasons, including our financial performance and market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nature and extent of related party transactions, see Note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the estimated lives assigned to our assets, the determination of bad debt, asset impairments, the fair value of derivative instruments, the calculation of our income tax liabilities, and the determination of whether to consolidate a variable interest entity require that we apply significant judgment in defining the appropriate assumptions for calculating financial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consider accounting estimates to be critical accounting policies when:</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estimates involve matters that are highly uncertain at the time the accounting estimate is made;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estimates or changes to estimates could have a material impact on the reported financial position, changes in financial position, or results of operations.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Long-Lived Assets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for determining whether an asset is impaired, assets are grouped at the lowest level of identifiable cash flows, which, for most of our assets, is the individual property. See Note 5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Non-Amortizing Intangible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evaluation of goodwill and other non-amortizing intangible assets requires the use of estimates about future revenues and EBITDA, valuation multiples, and discount rates to determine their estimated fair value. Our future revenues and EBITDA assumptions are determined based upon actual results giving effect to expected changes in operating results in future years. Our valuation multiples and discount rates are based upon market participant assumptions using a defined gaming peer group. Changes in these assumptions can materially affect these estimates. Thus, to the extent the gaming volumes deteriorate in the near future, discount rates increase significantly, or we do not meet our projected performance, we could recognize impairments, and such impairments could be material. This is especially true for any of our properties where goodwill and other non-amortizing intangible assets have been partially impaired as a result of a recent impairment analysis.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approximately $1.9 billion in goodwill and $1.4 billion of other non-amortizing intangible assets. As of December 31, 2018, all reporting units with goodwill and/or other non-amortizing intangible assets have estimated fair values that exceed their carrying values. See Note 6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 - Gaming</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allowance for doubtful accounts. As of December 31, 2018, a 5% increase or decrease to the allowance determined based on a percentage of aged receivables would change the reserve by approximately $3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 Accruals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self-insured for workers’ compensation and other risk products through our captive insurance subsidiaries. Our insurance claims and reserves include accruals of estimated settlements for known claims, as well as accruals of actuarial estimates of incurred but not reported claims. In estimating these reserves, historical loss experience and judgments about the expected levels of costs per claim are considered. We also utilize consultants to assist in the determination of certain estimated accruals. These claims are accounted for based on actuarial estimates of the undiscounted claims, including those claims incurred but not reported. We believe the use of actuarial methods to account for these liabilities provides a consistent and effective way to measure these highly judgmental accruals; however, changes in health care costs, accident frequency and severity, and other factors can materially affect the estimates for these liabilities. We regularly monitor the potential for changes in estimates, evaluate our insurance accruals, and adjust our recorded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interest rate swaps which are derivative instruments classified as hedging transactions to limit our exposure to interest rate risk. Derivative instruments are recognized in the financial statements at fair value. The estimated fair values of our derivative instruments are based on market prices obtained from dealer quotes. Such quotes represent the estimated amounts we would receive or pay to terminate the contracts. Our derivative instruments contain a credit risk that the counterparties may be unable to meet the terms of the agreements. We minimize that risk by evaluating the creditworthiness of our counterparties, which are limited to major banks and financial institutions. The fair values of our derivative instruments are adjusted for the credit rating of the counterparty if the derivative is an asset, or adjusted for the credit rating of the Company if the derivative is a liability.</w:t>
      </w:r>
    </w:p>
    <w:p>
      <w:pPr>
        <w:spacing w:after="0" w:line="124" w:lineRule="exact"/>
        <w:rPr>
          <w:sz w:val="20"/>
          <w:szCs w:val="20"/>
          <w:color w:val="auto"/>
        </w:rPr>
      </w:pPr>
    </w:p>
    <w:p>
      <w:pPr>
        <w:ind w:right="1500"/>
        <w:spacing w:after="0" w:line="438" w:lineRule="auto"/>
        <w:rPr>
          <w:sz w:val="20"/>
          <w:szCs w:val="20"/>
          <w:color w:val="auto"/>
        </w:rPr>
      </w:pPr>
      <w:r>
        <w:rPr>
          <w:rFonts w:ascii="Arial" w:cs="Arial" w:eastAsia="Arial" w:hAnsi="Arial"/>
          <w:sz w:val="18"/>
          <w:szCs w:val="18"/>
          <w:color w:val="auto"/>
        </w:rPr>
        <w:t xml:space="preserve">See Note 7 for more details regarding fair value measurements and Item 7A for quantitative and qualitative disclosures about market risk. </w:t>
      </w:r>
      <w:r>
        <w:rPr>
          <w:rFonts w:ascii="Arial" w:cs="Arial" w:eastAsia="Arial" w:hAnsi="Arial"/>
          <w:sz w:val="18"/>
          <w:szCs w:val="18"/>
          <w:i w:val="1"/>
          <w:iCs w:val="1"/>
          <w:u w:val="single" w:color="auto"/>
          <w:color w:val="auto"/>
        </w:rPr>
        <w:t>Income Taxes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included in the consolidated federal tax return of CEC, but file a separate New Jersey and Louisiana tax return for CRC. 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effect on the income tax provision and deferred tax assets and liabilities of a change in tax rates is recognized in income in the period that includes the enactment date. We have provided a valuation allowance on certain state deferred tax assets that were not deemed realizable based upon near term estimates of future taxable income.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 unrecognized tax benefits within Accrued expense and other current liabilities and Deferred credits and other liabilities on our Balance Sheets, separate from any related income tax payable, which is also reported within Accrued expense and other current liabilities or Deferred income taxes. Reserve amounts relate to any potential income tax liabilities resulting from uncertain tax positions, as well as potential interest or penalties associated with those liabilities.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under regular and recurring audit by the Internal Revenue Service and various state taxing authorities on open tax positions, and it is possible that the amount of the liability for unrecognized tax benefits could change during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Proposed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discussions of the adoption and potential impact of recently issued accounting standards.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w w:val="95"/>
              </w:rPr>
              <w:t>The  table  below  summarizes  CRC’s  contractual  obligations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8"/>
              </w:rPr>
              <w:t>and  other</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w w:val="97"/>
              </w:rPr>
              <w:t>commitments</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6"/>
              </w:rPr>
              <w:t>through  their</w:t>
            </w:r>
          </w:p>
        </w:tc>
        <w:tc>
          <w:tcPr>
            <w:tcW w:w="920" w:type="dxa"/>
            <w:vAlign w:val="bottom"/>
            <w:gridSpan w:val="2"/>
          </w:tcPr>
          <w:p>
            <w:pPr>
              <w:jc w:val="right"/>
              <w:ind w:right="19"/>
              <w:spacing w:after="0"/>
              <w:rPr>
                <w:sz w:val="20"/>
                <w:szCs w:val="20"/>
                <w:color w:val="auto"/>
              </w:rPr>
            </w:pPr>
            <w:r>
              <w:rPr>
                <w:rFonts w:ascii="Arial" w:cs="Arial" w:eastAsia="Arial" w:hAnsi="Arial"/>
                <w:sz w:val="18"/>
                <w:szCs w:val="18"/>
                <w:color w:val="auto"/>
                <w:w w:val="97"/>
              </w:rPr>
              <w:t>respective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6"/>
              </w:rPr>
              <w:t>maturity</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or  ending</w:t>
            </w:r>
          </w:p>
        </w:tc>
        <w:tc>
          <w:tcPr>
            <w:tcW w:w="1020" w:type="dxa"/>
            <w:vAlign w:val="bottom"/>
          </w:tcPr>
          <w:p>
            <w:pPr>
              <w:jc w:val="right"/>
              <w:spacing w:after="0"/>
              <w:rPr>
                <w:sz w:val="20"/>
                <w:szCs w:val="20"/>
                <w:color w:val="auto"/>
              </w:rPr>
            </w:pPr>
            <w:r>
              <w:rPr>
                <w:rFonts w:ascii="Arial" w:cs="Arial" w:eastAsia="Arial" w:hAnsi="Arial"/>
                <w:sz w:val="18"/>
                <w:szCs w:val="18"/>
                <w:color w:val="auto"/>
              </w:rPr>
              <w:t>dates  as  of</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39"/>
              <w:spacing w:after="0"/>
              <w:rPr>
                <w:sz w:val="20"/>
                <w:szCs w:val="20"/>
                <w:color w:val="auto"/>
              </w:rPr>
            </w:pPr>
            <w:r>
              <w:rPr>
                <w:rFonts w:ascii="Arial" w:cs="Arial" w:eastAsia="Arial" w:hAnsi="Arial"/>
                <w:sz w:val="16"/>
                <w:szCs w:val="16"/>
                <w:b w:val="1"/>
                <w:bCs w:val="1"/>
                <w:color w:val="auto"/>
              </w:rPr>
              <w:t xml:space="preserve">Payments due by Period </w:t>
            </w:r>
            <w:r>
              <w:rPr>
                <w:rFonts w:ascii="Arial" w:cs="Arial" w:eastAsia="Arial" w:hAnsi="Arial"/>
                <w:sz w:val="21"/>
                <w:szCs w:val="21"/>
                <w:b w:val="1"/>
                <w:bCs w:val="1"/>
                <w:i w:val="1"/>
                <w:iCs w:val="1"/>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Less than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1 year</w:t>
            </w:r>
          </w:p>
        </w:tc>
        <w:tc>
          <w:tcPr>
            <w:tcW w:w="1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1-3 years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260"/>
              <w:spacing w:after="0"/>
              <w:rPr>
                <w:sz w:val="20"/>
                <w:szCs w:val="20"/>
                <w:color w:val="auto"/>
              </w:rPr>
            </w:pPr>
            <w:r>
              <w:rPr>
                <w:rFonts w:ascii="Arial" w:cs="Arial" w:eastAsia="Arial" w:hAnsi="Arial"/>
                <w:sz w:val="16"/>
                <w:szCs w:val="16"/>
                <w:b w:val="1"/>
                <w:bCs w:val="1"/>
                <w:color w:val="auto"/>
              </w:rPr>
              <w:t>3-5 years</w:t>
            </w:r>
          </w:p>
        </w:tc>
        <w:tc>
          <w:tcPr>
            <w:tcW w:w="10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b w:val="1"/>
                <w:bCs w:val="1"/>
                <w:color w:val="auto"/>
                <w:w w:val="90"/>
              </w:rPr>
              <w:t>After 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Debt, face value</w:t>
            </w:r>
          </w:p>
        </w:tc>
        <w:tc>
          <w:tcPr>
            <w:tcW w:w="8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6,465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70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6,129</w:t>
            </w:r>
          </w:p>
        </w:tc>
        <w:tc>
          <w:tcPr>
            <w:tcW w:w="0" w:type="dxa"/>
            <w:vAlign w:val="bottom"/>
          </w:tcPr>
          <w:p>
            <w:pPr>
              <w:spacing w:after="0"/>
              <w:rPr>
                <w:sz w:val="1"/>
                <w:szCs w:val="1"/>
                <w:color w:val="auto"/>
              </w:rPr>
            </w:pPr>
          </w:p>
        </w:tc>
      </w:tr>
      <w:tr>
        <w:trPr>
          <w:trHeight w:val="270"/>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 xml:space="preserve">Estimated interest payments </w:t>
            </w:r>
            <w:r>
              <w:rPr>
                <w:rFonts w:ascii="Arial" w:cs="Arial" w:eastAsia="Arial" w:hAnsi="Arial"/>
                <w:sz w:val="21"/>
                <w:szCs w:val="21"/>
                <w:i w:val="1"/>
                <w:iCs w:val="1"/>
                <w:color w:val="auto"/>
                <w:vertAlign w:val="superscript"/>
              </w:rPr>
              <w:t>(2)</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Financing obligation - principal</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37"/>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Financing obligation - interest</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7"/>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Purchase order obligations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Sports sponsorship and partnership obligations</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Construction commitments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Community reinvestment</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820" w:type="dxa"/>
            <w:vAlign w:val="bottom"/>
            <w:gridSpan w:val="3"/>
          </w:tcPr>
          <w:p>
            <w:pPr>
              <w:ind w:left="40"/>
              <w:spacing w:after="0"/>
              <w:rPr>
                <w:sz w:val="20"/>
                <w:szCs w:val="20"/>
                <w:color w:val="auto"/>
              </w:rPr>
            </w:pPr>
            <w:r>
              <w:rPr>
                <w:rFonts w:ascii="Arial" w:cs="Arial" w:eastAsia="Arial" w:hAnsi="Arial"/>
                <w:sz w:val="16"/>
                <w:szCs w:val="16"/>
                <w:color w:val="auto"/>
              </w:rPr>
              <w:t xml:space="preserve">Entertainment obligations </w:t>
            </w:r>
            <w:r>
              <w:rPr>
                <w:rFonts w:ascii="Arial" w:cs="Arial" w:eastAsia="Arial" w:hAnsi="Arial"/>
                <w:sz w:val="21"/>
                <w:szCs w:val="21"/>
                <w:i w:val="1"/>
                <w:iCs w:val="1"/>
                <w:color w:val="auto"/>
                <w:vertAlign w:val="superscript"/>
              </w:rPr>
              <w:t>(3)</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contractual obligations</w:t>
            </w:r>
          </w:p>
        </w:tc>
        <w:tc>
          <w:tcPr>
            <w:tcW w:w="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gridSpan w:val="2"/>
          </w:tcPr>
          <w:p>
            <w:pPr>
              <w:ind w:left="240"/>
              <w:spacing w:after="0"/>
              <w:rPr>
                <w:sz w:val="20"/>
                <w:szCs w:val="20"/>
                <w:color w:val="auto"/>
              </w:rPr>
            </w:pPr>
            <w:r>
              <w:rPr>
                <w:rFonts w:ascii="Arial" w:cs="Arial" w:eastAsia="Arial" w:hAnsi="Arial"/>
                <w:sz w:val="16"/>
                <w:szCs w:val="16"/>
                <w:color w:val="auto"/>
              </w:rPr>
              <w:t xml:space="preserve">Total contractual obligations </w:t>
            </w:r>
            <w:r>
              <w:rPr>
                <w:rFonts w:ascii="Arial" w:cs="Arial" w:eastAsia="Arial" w:hAnsi="Arial"/>
                <w:sz w:val="21"/>
                <w:szCs w:val="21"/>
                <w:i w:val="1"/>
                <w:iCs w:val="1"/>
                <w:color w:val="auto"/>
                <w:vertAlign w:val="superscript"/>
              </w:rPr>
              <w:t>(4)</w:t>
            </w:r>
          </w:p>
        </w:tc>
        <w:tc>
          <w:tcPr>
            <w:tcW w:w="5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13,147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In addition to the contractual obligations disclosed in this table, we have unrecognized tax benefits for which, based on uncertainties associated with the items, we are unable to make reasonably reliable estimates of the period of potential cash settlements, if any, with taxing authorities.</w:t>
      </w:r>
    </w:p>
    <w:p>
      <w:pPr>
        <w:ind w:left="340" w:hanging="332"/>
        <w:spacing w:after="0" w:line="241" w:lineRule="auto"/>
        <w:tabs>
          <w:tab w:leader="none" w:pos="3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Estimated interest for variable-rate debt included in this table is based on the 1-month LIBOR curve available as of December 31, 2018. Estimated interest includes the estimated impact of the ten interest rate swap agreements (see Note 7). Actual payments may differ from these estimates.</w:t>
      </w:r>
    </w:p>
    <w:p>
      <w:pPr>
        <w:ind w:left="340" w:hanging="332"/>
        <w:spacing w:after="0" w:line="241" w:lineRule="auto"/>
        <w:tabs>
          <w:tab w:leader="none" w:pos="3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Entertainment obligations represent obligations to pay performers that have contracts for future performances. This amount does not include estimated obligations for future performances where payment is only guaranteed when the performances occur and/or is based on factors contingent upon the profitability of the performances.</w:t>
      </w:r>
    </w:p>
    <w:p>
      <w:pPr>
        <w:ind w:left="340" w:hanging="332"/>
        <w:spacing w:after="0" w:line="255" w:lineRule="auto"/>
        <w:tabs>
          <w:tab w:leader="none" w:pos="3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Contractual obligations do not include amounts that we have not yet incurred under the HLV Lease, for which we are required to spend $171 million in capital expenditures for the period from January 1, 2017 through December 31, 2021, and thereafter, spend an amount equal to at least 1% of the net revenue for the prior lease year.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BF2115"/>
        </w:rPr>
        <w:t>ITEM 7A.Quantitative and Qualitative Disclosures About Market Risk</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We attempt to limit our exposure to interest rate risk by managing the mix of our debt between fixed rate and variable rate obligations. While we may enter into agreements limiting our exposure to higher interest rates, any such agreements may not offer complete protection from this risk. As of December 31, 2018, the face value of long-term debt was $6.5 billion, including $4.8 billion of variable rate obligations.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ten interest rate swap agreements to fix the interest rate on $3.0 billion of variable rate debt, three that became effective on December 31, 2018, four that became effective on January 1, 2019, and three that became effective on January 2, 2019 at which time $1.8 billion of debt will remain subject to variable interest rates for the term of the agreement. See Note 7 for additional information. The difference to be paid or received under the terms of the interest rate swap agreements will be accrued as interest rates change and recognized as an adjustment to interest expense for the related debt beginning on December 31, 2018. Changes in the variable interest rates to be paid or received pursuant to the terms of the interest rate swap agreements will have a corresponding effect on future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as of December 31, 2018, about our financial instruments that are sensitive to changes in interest rates, including the cash flows associated with amortization, the notional amounts of interest rate derivative instruments, and related weighted average interest rates. Principal amounts are used to calculate the payments to be exchanged under the related agreements and weighted average variable rates are based on implied forward rates in the yield curve as of December 31,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ind w:left="120"/>
              <w:spacing w:after="0"/>
              <w:rPr>
                <w:sz w:val="20"/>
                <w:szCs w:val="20"/>
                <w:color w:val="auto"/>
              </w:rPr>
            </w:pPr>
            <w:r>
              <w:rPr>
                <w:rFonts w:ascii="Arial" w:cs="Arial" w:eastAsia="Arial" w:hAnsi="Arial"/>
                <w:sz w:val="16"/>
                <w:szCs w:val="16"/>
                <w:b w:val="1"/>
                <w:bCs w:val="1"/>
                <w:color w:val="auto"/>
              </w:rPr>
              <w:t>Expected Maturity Date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Fixed rate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r>
      <w:tr>
        <w:trPr>
          <w:trHeight w:val="237"/>
        </w:trPr>
        <w:tc>
          <w:tcPr>
            <w:tcW w:w="40" w:type="dxa"/>
            <w:vAlign w:val="bottom"/>
          </w:tcPr>
          <w:p>
            <w:pPr>
              <w:spacing w:after="0"/>
              <w:rPr>
                <w:sz w:val="20"/>
                <w:szCs w:val="20"/>
                <w:color w:val="auto"/>
              </w:rPr>
            </w:pPr>
          </w:p>
        </w:tc>
        <w:tc>
          <w:tcPr>
            <w:tcW w:w="206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Variable rate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4,573</w:t>
            </w:r>
          </w:p>
        </w:tc>
      </w:tr>
      <w:tr>
        <w:trPr>
          <w:trHeight w:val="237"/>
        </w:trPr>
        <w:tc>
          <w:tcPr>
            <w:tcW w:w="40" w:type="dxa"/>
            <w:vAlign w:val="bottom"/>
          </w:tcPr>
          <w:p>
            <w:pPr>
              <w:spacing w:after="0"/>
              <w:rPr>
                <w:sz w:val="20"/>
                <w:szCs w:val="20"/>
                <w:color w:val="auto"/>
              </w:rPr>
            </w:pPr>
          </w:p>
        </w:tc>
        <w:tc>
          <w:tcPr>
            <w:tcW w:w="206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2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 xml:space="preserve">Variable to fixed </w:t>
            </w:r>
            <w:r>
              <w:rPr>
                <w:rFonts w:ascii="Arial" w:cs="Arial" w:eastAsia="Arial" w:hAnsi="Arial"/>
                <w:sz w:val="21"/>
                <w:szCs w:val="21"/>
                <w:i w:val="1"/>
                <w:iCs w:val="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2060" w:type="dxa"/>
            <w:vAlign w:val="bottom"/>
            <w:gridSpan w:val="2"/>
          </w:tcPr>
          <w:p>
            <w:pPr>
              <w:ind w:left="460"/>
              <w:spacing w:after="0"/>
              <w:rPr>
                <w:sz w:val="20"/>
                <w:szCs w:val="20"/>
                <w:color w:val="auto"/>
              </w:rPr>
            </w:pPr>
            <w:r>
              <w:rPr>
                <w:rFonts w:ascii="Arial" w:cs="Arial" w:eastAsia="Arial" w:hAnsi="Arial"/>
                <w:sz w:val="16"/>
                <w:szCs w:val="16"/>
                <w:color w:val="auto"/>
              </w:rPr>
              <w:t>Average pay rate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Average receive rate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9"/>
          <w:szCs w:val="9"/>
          <w:i w:val="1"/>
          <w:iCs w:val="1"/>
          <w:color w:val="auto"/>
        </w:rPr>
      </w:pPr>
      <w:r>
        <w:rPr>
          <w:rFonts w:ascii="Arial" w:cs="Arial" w:eastAsia="Arial" w:hAnsi="Arial"/>
          <w:sz w:val="14"/>
          <w:szCs w:val="14"/>
          <w:i w:val="1"/>
          <w:iCs w:val="1"/>
          <w:color w:val="auto"/>
        </w:rPr>
        <w:t>These amounts represent the interest rate swap notional amounts that mature at the end of each respective year. See Note 7 for additional information.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our long-term variable rate debt reflects borrowings under our credit facilities provided to us by a consortium of banks with a total capacity of $5.7 billion. The interest rates charged on borrowings under these facilities are a function of LIBOR. As such, the interest rates charged to us for borrowings under the facilities are subject to change as LIBOR changes. Assuming a constant outstanding balance for our variable rate long-term debt, a hypothetical 1% increase in interest rates would increase interest expense approximately $18 million while a hypothetical 1% decrease in interest rates would decrease interest expense approximately $18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1"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BF2115"/>
        </w:rPr>
        <w:t>ITEM 8.  Financial Statements and Supplementary Data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Caesars Resort Collection, LLC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financial statements of Caesars Resort Collection, LLC, and its subsidiaries (the “Company”), which comprise the consolidated balance sheets as of December 31, 2018 and 2017 and the related consolidated statements of operations and comprehensive income/(loss), member’s equity, and cash flows for each of the three years in the period ended December 31, 2018, and the related 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Consolidated Financial Statements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Caesars Resort Collection, LLC and its subsidiaries as of December 31, 2018 and 2017, and the results of their operations and their cash flows for each of the three years in the period ended December 31, 2018 in accordance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discussed in Note 12 to the financial statements, the Company has changed its method of accounting for revenue in all periods presented due to the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Our opinion is not modified with respect to this matter.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7"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 ($19 and $21 attributable to our VIEs)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Receivables, net ($14 and $6 attributable to our VIEs)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Due from affiliates, net ($138 and $212 attributable to our VIEs)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Prepayments and other current assets ($40 and $50 attributable to our VIEs)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Property and equipment, net ($129 and $88 attributable to our VIEs)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7,282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Intangible assets other than goodwill</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management fees to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Deferred charges and other assets ($18 and $1 attributable to our VIEs)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10,933</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Liabilities and Member’s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($78 and $106 attributable to our VIEs)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Due to affiliates, net ($1 and $0 attributable to our VIEs)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 ($172 and $163 attributable to our VIEs)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Interest payable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Contract liabilities ($69 and $61 attributable to our VIEs)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Current portion of financing obligations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17"/>
        </w:trPr>
        <w:tc>
          <w:tcPr>
            <w:tcW w:w="4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Long-term debt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6,245</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to related party ($15 and $0 attributable to our VIEs)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 credits and other liabilities ($7 and $1 attributable to our VIEs)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4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8,712</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10)</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Member’s equity</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Contributed capital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Arial" w:cs="Arial" w:eastAsia="Arial" w:hAnsi="Arial"/>
                <w:sz w:val="16"/>
                <w:szCs w:val="16"/>
                <w:color w:val="auto"/>
              </w:rPr>
              <w:t>Total CRC member’s equity</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1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Total member’s equity</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2,221</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member’s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10,933</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INCOME/(LOSS)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gridSpan w:val="6"/>
          </w:tcPr>
          <w:p>
            <w:pPr>
              <w:ind w:left="20"/>
              <w:spacing w:after="0"/>
              <w:rPr>
                <w:sz w:val="20"/>
                <w:szCs w:val="20"/>
                <w:color w:val="auto"/>
              </w:rPr>
            </w:pPr>
            <w:r>
              <w:rPr>
                <w:rFonts w:ascii="Arial" w:cs="Arial" w:eastAsia="Arial" w:hAnsi="Arial"/>
                <w:sz w:val="16"/>
                <w:szCs w:val="16"/>
                <w:b w:val="1"/>
                <w:bCs w:val="1"/>
                <w:color w:val="auto"/>
                <w:w w:val="89"/>
              </w:rPr>
              <w:t>Years Ended December 31,</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Casino</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1,513</w:t>
            </w:r>
          </w:p>
        </w:tc>
        <w:tc>
          <w:tcPr>
            <w:tcW w:w="54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Rooms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17"/>
        </w:trPr>
        <w:tc>
          <w:tcPr>
            <w:tcW w:w="40" w:type="dxa"/>
            <w:vAlign w:val="bottom"/>
          </w:tcPr>
          <w:p>
            <w:pPr>
              <w:spacing w:after="0"/>
              <w:rPr>
                <w:sz w:val="18"/>
                <w:szCs w:val="18"/>
                <w:color w:val="auto"/>
              </w:rPr>
            </w:pPr>
          </w:p>
        </w:tc>
        <w:tc>
          <w:tcPr>
            <w:tcW w:w="6360" w:type="dxa"/>
            <w:vAlign w:val="bottom"/>
            <w:gridSpan w:val="2"/>
          </w:tcPr>
          <w:p>
            <w:pPr>
              <w:ind w:left="50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3,502</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Direct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Casino</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400"/>
              <w:spacing w:after="0"/>
              <w:rPr>
                <w:sz w:val="20"/>
                <w:szCs w:val="20"/>
                <w:color w:val="auto"/>
              </w:rPr>
            </w:pPr>
            <w:r>
              <w:rPr>
                <w:rFonts w:ascii="Arial" w:cs="Arial" w:eastAsia="Arial" w:hAnsi="Arial"/>
                <w:sz w:val="16"/>
                <w:szCs w:val="16"/>
                <w:color w:val="auto"/>
              </w:rPr>
              <w:t>Food and beverage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Property, general, administrative, and 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Management fees to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Corporate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Other operating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Gain on sale of Octavius Tower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6360" w:type="dxa"/>
            <w:vAlign w:val="bottom"/>
            <w:gridSpan w:val="2"/>
          </w:tcPr>
          <w:p>
            <w:pPr>
              <w:ind w:left="6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Restructuring and support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4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Income/(loss) before income taxes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benefit/(provision)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84"/>
        </w:trPr>
        <w:tc>
          <w:tcPr>
            <w:tcW w:w="4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Net income/(loss)</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71"/>
        </w:trPr>
        <w:tc>
          <w:tcPr>
            <w:tcW w:w="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Comprehensive income/(loss)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Change in fair market value of interest rate swaps, net of tax</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Other comprehensive loss, net of income taxes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6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Comprehensive income/(loss)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54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ind w:left="300"/>
              <w:spacing w:after="0"/>
              <w:rPr>
                <w:sz w:val="20"/>
                <w:szCs w:val="20"/>
                <w:color w:val="auto"/>
              </w:rPr>
            </w:pPr>
            <w:r>
              <w:rPr>
                <w:rFonts w:ascii="Arial" w:cs="Arial" w:eastAsia="Arial" w:hAnsi="Arial"/>
                <w:sz w:val="16"/>
                <w:szCs w:val="16"/>
                <w:b w:val="1"/>
                <w:bCs w:val="1"/>
                <w:color w:val="auto"/>
              </w:rPr>
              <w:t>CRC Member’s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CRC</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Contributed</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Member’s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Member’s</w:t>
            </w: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Income/(Loss)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Transactions with parent and affiliates,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Caesars Rewards liability transfer from CEOC LLC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Income tax-related contributions by parent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w w:val="95"/>
              </w:rPr>
              <w:t>Consolidation of Caesars Entertainment Services, LLC</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Income tax-related contributions by parent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Transactions with parent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9"/>
              </w:rPr>
              <w:t>Change in noncontrolling interest, net of distributions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and contributions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2,661</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Net income/(loss)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income/(loss) to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Gain on sale of Octavius Tower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46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Non-cash VICI call right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460"/>
              <w:spacing w:after="0"/>
              <w:rPr>
                <w:sz w:val="20"/>
                <w:szCs w:val="20"/>
                <w:color w:val="auto"/>
              </w:rPr>
            </w:pPr>
            <w:r>
              <w:rPr>
                <w:rFonts w:ascii="Arial" w:cs="Arial" w:eastAsia="Arial" w:hAnsi="Arial"/>
                <w:sz w:val="16"/>
                <w:szCs w:val="16"/>
                <w:color w:val="auto"/>
              </w:rPr>
              <w:t>Amortization of deferred finance costs and debt discount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4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460"/>
              <w:spacing w:after="0"/>
              <w:rPr>
                <w:sz w:val="20"/>
                <w:szCs w:val="20"/>
                <w:color w:val="auto"/>
              </w:rPr>
            </w:pPr>
            <w:r>
              <w:rPr>
                <w:rFonts w:ascii="Arial" w:cs="Arial" w:eastAsia="Arial" w:hAnsi="Arial"/>
                <w:sz w:val="16"/>
                <w:szCs w:val="16"/>
                <w:color w:val="auto"/>
              </w:rPr>
              <w:t>Other non-cash adjustments to net income/(loss)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changes 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Due to/due from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Inventories, prepayments and other current assets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Deferred charges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Interest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Deferred credits and other liabilities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6"/>
                <w:szCs w:val="16"/>
                <w:color w:val="auto"/>
              </w:rPr>
              <w:t>Cash flows provided by operating activities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Acquisitions of property and equipment, net of change in related payables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Acquisition of Centaur, net of cash and restricted cash acquired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Payments to acquire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Consolidation of Caesars Entertainment Services, LLC</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Contributions to Caesars Entertainment Services, LLC</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6"/>
                <w:szCs w:val="16"/>
                <w:color w:val="auto"/>
              </w:rPr>
              <w:t>Cash flows used in investing activities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Proceeds from long-term debt to related party</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Proceeds from long-term debt and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Repayments of long-term debt and revolving credit facility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Payments of debt issuance and extension fees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Proceeds from financing arrangements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Transactions with parent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Financing obligation payments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flows provided by/(used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7"/>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Net increase/(decrease) in cash, cash equivalents and restricted cash</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44"/>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60" w:top="580"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601</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Cash refunded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Change in accrued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Settlement of financing arrangement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Contribution from parent in settlement of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20" w:type="dxa"/>
            <w:vAlign w:val="bottom"/>
          </w:tcPr>
          <w:p>
            <w:pPr>
              <w:spacing w:after="0"/>
              <w:rPr>
                <w:sz w:val="20"/>
                <w:szCs w:val="20"/>
                <w:color w:val="auto"/>
              </w:rPr>
            </w:pPr>
          </w:p>
        </w:tc>
        <w:tc>
          <w:tcPr>
            <w:tcW w:w="7040" w:type="dxa"/>
            <w:vAlign w:val="bottom"/>
            <w:gridSpan w:val="2"/>
          </w:tcPr>
          <w:p>
            <w:pPr>
              <w:ind w:left="260"/>
              <w:spacing w:after="0"/>
              <w:rPr>
                <w:sz w:val="20"/>
                <w:szCs w:val="20"/>
                <w:color w:val="auto"/>
              </w:rPr>
            </w:pPr>
            <w:r>
              <w:rPr>
                <w:rFonts w:ascii="Arial" w:cs="Arial" w:eastAsia="Arial" w:hAnsi="Arial"/>
                <w:sz w:val="16"/>
                <w:szCs w:val="16"/>
                <w:color w:val="auto"/>
              </w:rPr>
              <w:t>Deferred consideration for acquisition of Centaur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60" w:top="544"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 this report, the name “CRC LLC” refers to the parent holding company, Caesars Resort Collection, LLC, exclusive of its consolidated subsidiaries and variable interest entities, unless otherwise stated or the context otherwise requires. The words “CRC,” “Company,” “we,” “our,” and “us” refer to Caesars Resort Collection, LLC, inclusive of its consolidated subsidiaries and variable interest entities, unless otherwise stated or the context otherwise requires.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Comprehensive Income/(Loss)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 Organization and Basis of Presentation and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CRC LLC is a Delaware limited liability company and wholly owned by Caesars Entertainment Corporation (“CEC,” “Caesars,” and “Caesars Entertainment”).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CRC’s casino properties operate under well-known brands and include Bally’s Las Vegas, The Cromwell, Flamingo Las Vegas, Harrah’s Atlantic City, Harrah’s Las Vegas, Harrah’s Laughlin, Harrah’s New Orleans, Hoosier Park, Indiana Grand, The LINQ Hotel &amp; Casino, Paris Las Vegas, Planet Hollywood Resort &amp; Casino (“Planet Hollywood”), and Rio All-Suites Hotel &amp; Casino (“Rio Las Vegas”). CRC leases Harrah’s Las Vegas from VICI Properties Inc. and/or its subsidiaries (collectively, “VICI”), the real estate investment trust that holds certain real property assets formerly held by Caesars Entertainment Operating Company, Inc. (“CEOC”). CRC also owns The LINQ Promenade.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view each property as an operating segment and aggregate such properties into one reportable segment, which is consistent with how we manage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Centaur Holdings, LLC</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16, 2018, we completed the acquisition of Centaur Holdings, LLC (“Centaur”). Centaur operated Hoosier Park Racing &amp; Casino in Anderson, Indiana, and Indiana Grand Racing &amp; Casino in Shelbyville, Indiana. See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Octavius Tower at Caesars Palace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11, 2018, we sold Octavius Tower at Caesars Palace (“Octavius Tower”) to VICI for $508 million in cash. The sale was contingent on CEC completing the sale of the land and real property improvements used in the operation of Harrah’s Philadelphia Casino and Racetrack (“Harrah’s Philadelphia”) to VICI and modifying certain existing lease agreements with VICI. We determined that this transaction did not qualify for sale accounting and we accounted for the transaction as a financing activity. On December 26, 2018, the sale of Harrah’s Philadelphia was completed and modifications to certain of our existing lease agreements with VICI were consummated. As a result, on December 26, 2018, we derecognized the Octavius Tower real estate assets and financing obligation reflected as a non-cash settlement in our Statement of Cash Flows, and recognized a gain on sale of $271 million. Proceeds from the transaction were used to partially fund the closing of CRC’s acquisition of Centaur.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(“GAAP”), which require the use of estimates and assumptions that affect the reported amounts of assets, liabilities, revenues, and expenses and the disclosure of contingent assets and liabilities. Management believes the accounting estimates are appropriate and reasonably determined. Actual amounts could differ from those estimates. Certain prior year amounts have been reclassified to conform to the current year’s presentation.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include all revenues, costs, assets and liabilities directly attributable to us. The accompanying consolidated financial statements also include allocations of certain general corporate expenses of CEC. These allocations of general corporate expenses may not reflect the expense we would have incurred if we were a stand-alone company nor are they necessarily indicative of our future costs. Our transactions with CEC and its other subsidiaries and affiliated entities have been identified as transactions between related parties and are disclosed in Note 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New Revenue Recognition Standard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January 1, 2018, we adopted the new accounting standard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See Note 12 for additional information and details on the effects of adopting the new standard.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 the accounts of CRC and its subsidiaries after elimination of all intercompany accounts and transactions.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using the cost method.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consolidate a VIE when we have both the power to direct the activities that most significantly impact the results of the VIE and the right to receive benefits or the obligation to absorb losses of the entity that could be potentially significant to the VIE. We continually monitor both consolidated and unconsolidated VIEs to determine if any events have occurred that could cause the primary beneficiary to change. A change in determination could have a material impact on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its subsequent events review through February 21, 2019, the date on which the financial statements were available to be issued, and noted no items requiring disclosure.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 significant accounting policy disclosures are provided within the applicable notes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equivalents are highly liquid investments with original maturities of three months or less from the date of purchase and are stated at the lower of cost or market value. Our cash and cash equivalents as of December 31, 2018 and 2017 includes $19 million and $21 million, respectively, held by our consolidated VIE, which is not available for our use to fund operations or satisfy our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restricted cash between current and non-current is dependent upon the intended use of each particular reserve.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to Statements of Cash Flows</w:t>
      </w:r>
    </w:p>
    <w:p>
      <w:pPr>
        <w:spacing w:after="0" w:line="104"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Restricted cash, current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 non-current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4"/>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1,051</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expenses the production costs of advertising the first time the advertising takes place. Advertising expense was $62 million, $14 million, and $12 million, respectively, for the years ended December 31, 2018, 2017 and 2016. The increase in advertising expense for the year ended December 31, 2018 was due to the consolidation of Caesars Enterprise Services, LLC (“CES”) on December 22, 2017. Advertising expense is included in Property, general, administrative, and other within the Statements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costs primarily includes write-downs, reserves, and project opening costs, net of recoveries and acquisition and integration costs.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 Recently Issued Accounting Pronouncements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 (“ASC”).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2018, we adopted the following ASUs: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(see Note 12).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ASU 2016-16,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(see Note 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2018, the following ASUs became effective, but there was no quantitative or qualitative effect on our financial statements:</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ASU 2018-09, </w:t>
      </w:r>
      <w:r>
        <w:rPr>
          <w:rFonts w:ascii="Arial" w:cs="Arial" w:eastAsia="Arial" w:hAnsi="Arial"/>
          <w:sz w:val="18"/>
          <w:szCs w:val="18"/>
          <w:i w:val="1"/>
          <w:iCs w:val="1"/>
          <w:color w:val="auto"/>
        </w:rPr>
        <w:t>Codification Improvements.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ASU 2018-05, </w:t>
      </w:r>
      <w:r>
        <w:rPr>
          <w:rFonts w:ascii="Arial" w:cs="Arial" w:eastAsia="Arial" w:hAnsi="Arial"/>
          <w:sz w:val="18"/>
          <w:szCs w:val="18"/>
          <w:i w:val="1"/>
          <w:iCs w:val="1"/>
          <w:color w:val="auto"/>
        </w:rPr>
        <w:t>Income Taxes (Topic 740): Amendments to SEC Paragraphs Pursuant to SEC Staff Accounting Bulletin No. 118</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ASU 2016-01,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ASUs were not yet effective as of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Developments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Collaborative Arrangements -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makes targeted improvements to GAAP for collaborative arrangements including: (i)</w:t>
      </w:r>
      <w:r>
        <w:rPr>
          <w:rFonts w:ascii="Arial" w:cs="Arial" w:eastAsia="Arial" w:hAnsi="Arial"/>
          <w:sz w:val="17"/>
          <w:szCs w:val="17"/>
          <w:i w:val="1"/>
          <w:iCs w:val="1"/>
          <w:color w:val="auto"/>
        </w:rPr>
        <w:t xml:space="preserve"> </w:t>
      </w:r>
      <w:r>
        <w:rPr>
          <w:rFonts w:ascii="Arial" w:cs="Arial" w:eastAsia="Arial" w:hAnsi="Arial"/>
          <w:sz w:val="17"/>
          <w:szCs w:val="17"/>
          <w:color w:val="auto"/>
        </w:rPr>
        <w:t>clarifying that certain transactions between collaborative arrangement participants should be accounted for as revenue under ASC 606 when the collaborative arrangement participant is a customer in the context of a unit of account, (ii) adding unit-of-account guidance in ASC 808 to align with the guidance in ASC 606 (that is, a distinct good or service) when an entity is assessing whether the collaborative arrangement or a part of the arrangement is within the scope of ASC 606, and (iii) requiring that in a transaction with a collaborative arrangement participant that is not directly related to sales to third parties, presenting the transaction together with revenue recognized under ASC 606 is precluded if the collaborative arrangement participant is not a customer. The amendments in this update are effective for nonpublic entities for fiscal years beginning after December 15, 2020, and interim periods within fiscal years beginning after December 15, 2021. Early adoption is permitted. The amendments should be applied retrospectively to the date of initial application of ASC 606. An entity may elect to apply the amendments in this ASU retrospectively either to all contracts or only to contracts that are not completed at the date of initial application of ASC 606. An entity should disclose its election. An entity may elect to apply the practical expedient for contract modifications that is permitted for entities using the modified retrospective transition method in ASC 606. We are currently assessing the effect the adoption of this standard will have on our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Disclosed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Intangibles - Goodwill and Other - Internal-Use Software - August 2018</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guidance aligns the requirements for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a hosting arrangement that is a service contract with the requirements for capitalizing implementation costs incurred to develop or obtain internal-use software. The accounting for the service element of a hosting arrangement that is a service contract is not affected. The amendments in this update are effective for nonpublic entities for annual reporting periods beginning after December 15, 2020, and interim periods within annual periods beginning after December 15, 2021. Early adoption is permitted. The amendments in this ASU should be applied either retrospectively or prospectively to all implementation costs incurred after the date of adoption. We are currently assessing the effect the adoption of this standard will have on our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Fair Value Measurement - August 2018</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modifies fair value measurement disclosure requirements including (i) removing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such as the amount of and reasons for transfers between Level 1 and Level 2 of the fair value hierarchy, (ii) modifying certain disclosure requirements such as the nonpublic entity requirement to disclose transfers into and out of Level 3 of the fair value hierarchy, and (iii) adding certain disclosure requirements such as changes in unrealized gains and losses for the period included in other comprehensive income for recurring Level 3 fair value measurements held at the end of the reporting period. The amendments in this update are effective for fiscal years beginning after December 15, 2019, and interim periods within those fiscal years.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assessing the effect the adoption of this standard will have on our financial statements.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Leases - February 2016 (amended through December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amended guidance is intended to increase transparency and comparability among</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by requiring additional disclosures to reflect the significance of an entity’s leasing arrangements. The new standard establishes a right-of-use (“ROU”) model that requires a lessee to recognize an ROU asset and lease liability on the balance sheet for all leases with a term longer than 12 months. Many long-term operating leases, including agreements relating to real estate, will be recorded on the balance sheet as an ROU asset with a corresponding lease liability, which will be amortized using the effective interest rate method as payments are made. Certain leases embedded in other arrangements, such as service and supplier contracts, may be accounted for separately by allocating payments between lease and non-lease components.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standard provides a number of optional practical expedients in transition. We currently expect to elect the package of practical expedients, which permits us to carryforward our prior conclusions about lease identification, lease classification and initial direct costs. Additionally, we currently expect to adopt the practical expedient that allows comparative periods to be reported under current lease accounting guidance consistent with previously issued financial statements. We also do not currently expect to record leases on the balance sheet that at the commencement date have a lease term of twelve months or less.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continue to assess all of the effects of adoption, we currently believe the most significant effects relate to the recognition of new ROU assets and lease liabilities on our Balance Sheet for our real estate operating leases and providing significant new disclosures about our leasing activities. These operating leases will be recognized on a straight-line basis in rent expense. Additionally, we continue to evaluate the impact of the adoption on our existing failed sale-leaseback transactions. The Company expects the accounting for lease agreements where the Company is a lessor to be accounted for in the same manner as those agreements are accounted for under current accounting guidance.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guidance is effective for fiscal years, and interim periods within those fiscal years, beginning after December 15, 2018. We will adopt the new standard on January 1, 2019 and have elected to apply the guidance as of the adoption date. Consequently, financial information will not be updated, and the disclosures required under the new standard will not be provided for dates and periods before January 1, 2019.</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Financial Instruments - Credit Losses - June 2016 (amended through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replaces the incurred loss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with a methodology that reflects expected credit losses and requires consideration of a broader range of reasonable and supportable information to inform credit loss estimates. Amendments affect entities holding financial assets and net investments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Amendments are effective for nonpublic entities for fiscal years beginning after December 15, 2020, and interim periods within fiscal years beginning after December 15, 2021. Early adoption is permitted. An entity will apply the amendments in this ASU through a cumulative-effect adjustment to retained earnings as of the beginning of the first reporting period in which the guidance is effective (that is, a modified-retrospective approach). A prospective transition approach is required for debt securities for which an other-than-temporary impairment had been recognized before the effective date. The effect of a prospective transition approach is to maintain the same amortized cost basis before and after the effective date of this ASU. We are currently assessing the effect the adoption of this standard will have on our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Centaur Holdings, LLC</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1, on July 16, 2018 (the “Centaur Closing Date”), CRC completed its acquisition of all of the voting equity interest of Centaur, for consideration of $1.7 billion. This acquisition expands our footprint to the central Indiana region and facilitates broad distribution of the Caesars Rewards customer loyalty program, formerly known as Total Rewards. Acquisition-related costs included in Other operating costs in the Statements of Operations were $8 million during the year ended December 31, 2018. Consideration transferred was composed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paid</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Deferred consideration </w:t>
            </w:r>
            <w:r>
              <w:rPr>
                <w:rFonts w:ascii="Arial" w:cs="Arial" w:eastAsia="Arial" w:hAnsi="Arial"/>
                <w:sz w:val="21"/>
                <w:szCs w:val="21"/>
                <w:i w:val="1"/>
                <w:iCs w:val="1"/>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312" w:lineRule="auto"/>
        <w:tabs>
          <w:tab w:leader="none" w:pos="340" w:val="left"/>
        </w:tabs>
        <w:numPr>
          <w:ilvl w:val="0"/>
          <w:numId w:val="27"/>
        </w:numPr>
        <w:rPr>
          <w:rFonts w:ascii="Arial" w:cs="Arial" w:eastAsia="Arial" w:hAnsi="Arial"/>
          <w:sz w:val="8"/>
          <w:szCs w:val="8"/>
          <w:i w:val="1"/>
          <w:iCs w:val="1"/>
          <w:color w:val="auto"/>
        </w:rPr>
      </w:pPr>
      <w:r>
        <w:rPr>
          <w:rFonts w:ascii="Arial" w:cs="Arial" w:eastAsia="Arial" w:hAnsi="Arial"/>
          <w:sz w:val="13"/>
          <w:szCs w:val="13"/>
          <w:i w:val="1"/>
          <w:iCs w:val="1"/>
          <w:color w:val="auto"/>
        </w:rPr>
        <w:t>Deferred consideration is payable in an installment of $25 million on the second anniversary of the Centaur Closing Date and $50 million on the third anniversary of the Centaur Closing Date with prepayments and right of setoff permitted, subject to the terms and conditions of the Unit Purchase Agreement. $66 million represents the present value of future expected cash flows.</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CEC paid a $50 million license transfer fee on behalf of Hoosier Park Racing &amp; Casino, which was accounted for as an equity contribution for CRC and relief of the associated assumed liability on the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Price Allocation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preliminary fair value of assets acquired and liabilities assumed as part of the Centaur acquisition. We will continue to evaluate the fair value of the assets acquired and liabilities assumed which may require the preliminary purchase price allocation to be adjusted within the allowable measurement period. The intangible assets subject to amortization will be amortized on a straight-line basis over their estimated useful lives as of the acquisition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ind w:left="280"/>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03"/>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7"/>
                <w:szCs w:val="17"/>
                <w:color w:val="auto"/>
              </w:rPr>
            </w:pPr>
          </w:p>
        </w:tc>
        <w:tc>
          <w:tcPr>
            <w:tcW w:w="1480" w:type="dxa"/>
            <w:vAlign w:val="bottom"/>
          </w:tcPr>
          <w:p>
            <w:pPr>
              <w:jc w:val="right"/>
              <w:ind w:right="45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820" w:type="dxa"/>
            <w:vAlign w:val="bottom"/>
          </w:tcPr>
          <w:p>
            <w:pPr>
              <w:ind w:left="280"/>
              <w:spacing w:after="0"/>
              <w:rPr>
                <w:sz w:val="20"/>
                <w:szCs w:val="20"/>
                <w:color w:val="auto"/>
              </w:rPr>
            </w:pPr>
            <w:r>
              <w:rPr>
                <w:rFonts w:ascii="Arial" w:cs="Arial" w:eastAsia="Arial" w:hAnsi="Arial"/>
                <w:sz w:val="16"/>
                <w:szCs w:val="16"/>
                <w:b w:val="1"/>
                <w:bCs w:val="1"/>
                <w:color w:val="auto"/>
              </w:rPr>
              <w:t>Useful Life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Intangible assets other than goodwill</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Trade names and trademarks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94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 xml:space="preserve">Gaming rights </w:t>
            </w:r>
            <w:r>
              <w:rPr>
                <w:rFonts w:ascii="Arial" w:cs="Arial" w:eastAsia="Arial" w:hAnsi="Arial"/>
                <w:sz w:val="21"/>
                <w:szCs w:val="21"/>
                <w:i w:val="1"/>
                <w:iCs w:val="1"/>
                <w:color w:val="auto"/>
                <w:vertAlign w:val="superscript"/>
              </w:rPr>
              <w:t>(1)</w:t>
            </w:r>
          </w:p>
        </w:tc>
        <w:tc>
          <w:tcPr>
            <w:tcW w:w="3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94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20" w:type="dxa"/>
            <w:vAlign w:val="bottom"/>
            <w:gridSpan w:val="2"/>
          </w:tcPr>
          <w:p>
            <w:pPr>
              <w:ind w:left="56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1,809</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Liabilities assumed:</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20" w:type="dxa"/>
            <w:vAlign w:val="bottom"/>
            <w:gridSpan w:val="2"/>
          </w:tcPr>
          <w:p>
            <w:pPr>
              <w:ind w:left="560"/>
              <w:spacing w:after="0"/>
              <w:rPr>
                <w:sz w:val="20"/>
                <w:szCs w:val="20"/>
                <w:color w:val="auto"/>
              </w:rPr>
            </w:pPr>
            <w:r>
              <w:rPr>
                <w:rFonts w:ascii="Arial" w:cs="Arial" w:eastAsia="Arial" w:hAnsi="Arial"/>
                <w:sz w:val="16"/>
                <w:szCs w:val="16"/>
                <w:color w:val="auto"/>
              </w:rPr>
              <w:t>Net identifiable assets acquired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80" w:type="dxa"/>
            <w:vAlign w:val="bottom"/>
          </w:tcPr>
          <w:p>
            <w:pPr>
              <w:ind w:left="140"/>
              <w:spacing w:after="0"/>
              <w:rPr>
                <w:sz w:val="20"/>
                <w:szCs w:val="20"/>
                <w:color w:val="auto"/>
              </w:rPr>
            </w:pPr>
            <w:r>
              <w:rPr>
                <w:rFonts w:ascii="Arial" w:cs="Arial" w:eastAsia="Arial" w:hAnsi="Arial"/>
                <w:sz w:val="16"/>
                <w:szCs w:val="16"/>
                <w:color w:val="auto"/>
              </w:rPr>
              <w:t>Total Centaur equity value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Indefinite-lived intangible assets.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applied the acquisition method of accounting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Goodwill of $271 million was recognized as a result of the transaction and relates to (i) the values of acquired assets that do not meet the definition of an identifiable intangible asset under ASC 805, but that do contribute to the value of the acquired business, including the assembled workforce and relationships with customers that are not tracked through their customer loyalty program; (ii) the going-concern value associated with expectations of forging relationships with future customers; (iii) the assemblage value associated with acquiring an on-going business whose value is worth more than simply the sum of its parts; (iv) synergies; and (v) the future potential expansion of table games to the properties. None of the goodwill recognized is expected to be deductible for income tax purposes.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 Property and Equipment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capital invested in our long-lived assets, and judgments are made in determining their estimated useful lives and salvage values and if or when an asset (or asset group)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review the carrying value of our long-lived assets whenever events and circumstances indicate that the carrying value of an asset may not be recoverable from the estimated future cash flows expected to result from its use and eventual disposition. As necessary, we typically estimate the fair value of assets starting with a “Replacement Cost New” approach and then deduct appropriate amounts for both functional and economic obsolescence to arrive at the fair value estimates. Other factors considered by management in performing this assessment may include current operating results, trends, prospects, and third-party appraisals, as well as the effect of demand, competition, and other economic, legal, and regulatory factors. In estimating expected future cash flows for determining whether an asset is impaired, assets are grouped at the lowest level of identifiable cash flows, which, for most of our assets, is the individual property. These analyses are sensitive to management assumptions and the estimates of the obsolescence factors. Changes in these assumptions and estimates could have a material impact on the analyses and the consolidated financial statements.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Additions to property and equipment are stated at cost. We capitalize the costs of improvements that extend the life of the asset. We expense maintenance and repair costs as incurred. Gains or losses on the dispositions of property and equipment are recognized in the period of disposal. Interest expense is capitalized on internally constructed assets at the applicable weighted-average borrowing rates of interest. Capitalization of interest ceases when the project is substantially complete or construction activity is suspended for more than a brief period of time. Interest capitalized was $7 million, $6 million and $3 million, respectively, for the years ended December 31, 2018, 2017 and 2016.</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Useful Lives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improvements</w:t>
            </w:r>
          </w:p>
        </w:tc>
        <w:tc>
          <w:tcPr>
            <w:tcW w:w="3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6"/>
              </w:rPr>
              <w:t>years</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320" w:type="dxa"/>
            <w:vAlign w:val="bottom"/>
          </w:tcPr>
          <w:p>
            <w:pPr>
              <w:ind w:left="120"/>
              <w:spacing w:after="0"/>
              <w:rPr>
                <w:sz w:val="20"/>
                <w:szCs w:val="20"/>
                <w:color w:val="auto"/>
              </w:rPr>
            </w:pPr>
            <w:r>
              <w:rPr>
                <w:rFonts w:ascii="Arial" w:cs="Arial" w:eastAsia="Arial" w:hAnsi="Arial"/>
                <w:sz w:val="16"/>
                <w:szCs w:val="16"/>
                <w:color w:val="auto"/>
              </w:rPr>
              <w:t>to</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540" w:type="dxa"/>
            <w:vAlign w:val="bottom"/>
          </w:tcPr>
          <w:p>
            <w:pPr>
              <w:ind w:left="180"/>
              <w:spacing w:after="0"/>
              <w:rPr>
                <w:sz w:val="20"/>
                <w:szCs w:val="20"/>
                <w:color w:val="auto"/>
              </w:rPr>
            </w:pPr>
            <w:r>
              <w:rPr>
                <w:rFonts w:ascii="Arial" w:cs="Arial" w:eastAsia="Arial" w:hAnsi="Arial"/>
                <w:sz w:val="16"/>
                <w:szCs w:val="16"/>
                <w:color w:val="auto"/>
                <w:w w:val="86"/>
              </w:rPr>
              <w:t>years</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 and leasehold improvements</w:t>
            </w:r>
          </w:p>
        </w:tc>
        <w:tc>
          <w:tcPr>
            <w:tcW w:w="3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6"/>
              </w:rPr>
              <w:t>years</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Furniture, fixtures, and equipment</w:t>
            </w:r>
          </w:p>
        </w:tc>
        <w:tc>
          <w:tcPr>
            <w:tcW w:w="39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Pr>
          <w:p>
            <w:pPr>
              <w:ind w:left="120"/>
              <w:spacing w:after="0"/>
              <w:rPr>
                <w:sz w:val="20"/>
                <w:szCs w:val="20"/>
                <w:color w:val="auto"/>
              </w:rPr>
            </w:pPr>
            <w:r>
              <w:rPr>
                <w:rFonts w:ascii="Arial" w:cs="Arial" w:eastAsia="Arial" w:hAnsi="Arial"/>
                <w:sz w:val="16"/>
                <w:szCs w:val="16"/>
                <w:color w:val="auto"/>
              </w:rPr>
              <w:t>to</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540" w:type="dxa"/>
            <w:vAlign w:val="bottom"/>
          </w:tcPr>
          <w:p>
            <w:pPr>
              <w:ind w:left="180"/>
              <w:spacing w:after="0"/>
              <w:rPr>
                <w:sz w:val="20"/>
                <w:szCs w:val="20"/>
                <w:color w:val="auto"/>
              </w:rPr>
            </w:pPr>
            <w:r>
              <w:rPr>
                <w:rFonts w:ascii="Arial" w:cs="Arial" w:eastAsia="Arial" w:hAnsi="Arial"/>
                <w:sz w:val="16"/>
                <w:szCs w:val="16"/>
                <w:color w:val="auto"/>
                <w:w w:val="86"/>
              </w:rPr>
              <w:t>years</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 Net</w:t>
      </w:r>
    </w:p>
    <w:p>
      <w:pPr>
        <w:spacing w:after="0" w:line="104"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i w:val="1"/>
                <w:iCs w:val="1"/>
                <w:color w:val="auto"/>
                <w:vertAlign w:val="superscript"/>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Buildings and leasehold and land improvements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Construction in progress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property and equipment</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9,247</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property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9"/>
          <w:szCs w:val="9"/>
          <w:i w:val="1"/>
          <w:iCs w:val="1"/>
          <w:color w:val="auto"/>
        </w:rPr>
      </w:pPr>
      <w:r>
        <w:rPr>
          <w:rFonts w:ascii="Arial" w:cs="Arial" w:eastAsia="Arial" w:hAnsi="Arial"/>
          <w:sz w:val="14"/>
          <w:szCs w:val="14"/>
          <w:i w:val="1"/>
          <w:iCs w:val="1"/>
          <w:color w:val="auto"/>
        </w:rPr>
        <w:t>We reclassified $73 million in land improvements to Buildings and leasehold and land improvements to align with our 2018 reporting presentation.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Expense and Other Amortization Expense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gridSpan w:val="6"/>
          </w:tcPr>
          <w:p>
            <w:pPr>
              <w:ind w:left="40"/>
              <w:spacing w:after="0"/>
              <w:rPr>
                <w:sz w:val="20"/>
                <w:szCs w:val="20"/>
                <w:color w:val="auto"/>
              </w:rPr>
            </w:pPr>
            <w:r>
              <w:rPr>
                <w:rFonts w:ascii="Arial" w:cs="Arial" w:eastAsia="Arial" w:hAnsi="Arial"/>
                <w:sz w:val="16"/>
                <w:szCs w:val="16"/>
                <w:b w:val="1"/>
                <w:bCs w:val="1"/>
                <w:color w:val="auto"/>
                <w:w w:val="89"/>
              </w:rPr>
              <w:t>Years Ended December 31,</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9"/>
                <w:szCs w:val="19"/>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Depreciation expense </w:t>
            </w:r>
            <w:r>
              <w:rPr>
                <w:rFonts w:ascii="Arial" w:cs="Arial" w:eastAsia="Arial" w:hAnsi="Arial"/>
                <w:sz w:val="21"/>
                <w:szCs w:val="21"/>
                <w:i w:val="1"/>
                <w:iCs w:val="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Other amortization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49"/>
        </w:trPr>
        <w:tc>
          <w:tcPr>
            <w:tcW w:w="6400" w:type="dxa"/>
            <w:vAlign w:val="bottom"/>
            <w:gridSpan w:val="3"/>
          </w:tcPr>
          <w:p>
            <w:pPr>
              <w:jc w:val="right"/>
              <w:ind w:right="4600"/>
              <w:spacing w:after="0"/>
              <w:rPr>
                <w:sz w:val="20"/>
                <w:szCs w:val="20"/>
                <w:color w:val="auto"/>
              </w:rPr>
            </w:pPr>
            <w:r>
              <w:rPr>
                <w:rFonts w:ascii="Arial" w:cs="Arial" w:eastAsia="Arial" w:hAnsi="Arial"/>
                <w:sz w:val="18"/>
                <w:szCs w:val="18"/>
                <w:color w:val="auto"/>
                <w:w w:val="88"/>
              </w:rPr>
              <w:t>____________________</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35" w:lineRule="exact"/>
        <w:rPr>
          <w:sz w:val="20"/>
          <w:szCs w:val="20"/>
          <w:color w:val="auto"/>
        </w:rPr>
      </w:pPr>
    </w:p>
    <w:p>
      <w:pPr>
        <w:jc w:val="both"/>
        <w:ind w:left="340" w:hanging="332"/>
        <w:spacing w:after="0" w:line="252" w:lineRule="auto"/>
        <w:tabs>
          <w:tab w:leader="none" w:pos="34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Depreciation expense for 2018 includes accelerated depreciation of $83 million due to asset removal and replacement in connection with property renovations primarily at Flamingo Las Vegas, Harrah’s Atlantic City, Paris Las Vegas, Harrah’s Las Vegas and Bally’s Las Vegas compared with $79 million in 2017 primarily at Flamingo Las Vegas, Bally’s Las Vegas, Harrah’s Las Vegas, Harrah’s Laughlin, Planet Hollywood and Harrah’s New Orleans and $55 million in 2016 primarily at Planet Hollywood, Paris Las Vegas, Harrah’s Las Vegas, and Flamingo Las Vegas.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 Goodwill and Other Intangible Assets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We determine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perform our annual goodwill impairment assessment as of October 1. We perform this assessment more frequently if impairment indicators exist. We performed our annual goodwill impairment test by comparing the fair value of each reporting unit with its carrying amount. We determine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our annual impairment assessment of other non-amortizing intangible assets as of October 1. We perform this assessment more frequently if impairment indicators exist. We determine the estimated fair value of our non-amortizing intangible assets by primarily using the “Relief from Royalty Method” and “Excess Earnings Method” under the income approach.</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evaluation of goodwill and other non-amortizing intangible assets requires the use of estimates about future operating results, valuation multiples, and discount rates to determine their estimated fair value. Changes in these assumptions can materially affect these estimates. Thus, to the extent gaming volumes deteriorate in the near future, discount rates increase significantly, or we do not meet our projected performance, we could have impairments to record in the future and such impairments could be material.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Goodwill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Gross Goodwill</w:t>
            </w:r>
          </w:p>
        </w:tc>
        <w:tc>
          <w:tcPr>
            <w:tcW w:w="14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Accumulated Impairment</w:t>
            </w:r>
          </w:p>
        </w:tc>
        <w:tc>
          <w:tcPr>
            <w:tcW w:w="240" w:type="dxa"/>
            <w:vAlign w:val="bottom"/>
          </w:tcPr>
          <w:p>
            <w:pPr>
              <w:spacing w:after="0"/>
              <w:rPr>
                <w:sz w:val="18"/>
                <w:szCs w:val="18"/>
                <w:color w:val="auto"/>
              </w:rPr>
            </w:pPr>
          </w:p>
        </w:tc>
        <w:tc>
          <w:tcPr>
            <w:tcW w:w="19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January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jc w:val="right"/>
              <w:ind w:right="3000"/>
              <w:spacing w:after="0"/>
              <w:rPr>
                <w:sz w:val="20"/>
                <w:szCs w:val="20"/>
                <w:color w:val="auto"/>
              </w:rPr>
            </w:pPr>
            <w:r>
              <w:rPr>
                <w:rFonts w:ascii="Arial" w:cs="Arial" w:eastAsia="Arial" w:hAnsi="Arial"/>
                <w:sz w:val="16"/>
                <w:szCs w:val="16"/>
                <w:color w:val="auto"/>
              </w:rPr>
              <w:t xml:space="preserve">Centaur acquisition </w:t>
            </w:r>
            <w:r>
              <w:rPr>
                <w:rFonts w:ascii="Arial" w:cs="Arial" w:eastAsia="Arial" w:hAnsi="Arial"/>
                <w:sz w:val="21"/>
                <w:szCs w:val="21"/>
                <w:i w:val="1"/>
                <w:iCs w:val="1"/>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Balance as of December 31 </w:t>
            </w:r>
            <w:r>
              <w:rPr>
                <w:rFonts w:ascii="Arial" w:cs="Arial" w:eastAsia="Arial" w:hAnsi="Arial"/>
                <w:sz w:val="21"/>
                <w:szCs w:val="21"/>
                <w:i w:val="1"/>
                <w:iCs w:val="1"/>
                <w:color w:val="auto"/>
                <w:vertAlign w:val="superscript"/>
              </w:rPr>
              <w:t>(2)</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jc w:val="right"/>
              <w:ind w:right="2900"/>
              <w:spacing w:after="0"/>
              <w:rPr>
                <w:sz w:val="20"/>
                <w:szCs w:val="20"/>
                <w:color w:val="auto"/>
              </w:rPr>
            </w:pPr>
            <w:r>
              <w:rPr>
                <w:rFonts w:ascii="Arial" w:cs="Arial" w:eastAsia="Arial" w:hAnsi="Arial"/>
                <w:sz w:val="18"/>
                <w:szCs w:val="18"/>
                <w:color w:val="auto"/>
                <w:w w:val="88"/>
              </w:rPr>
              <w:t>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See Note 4 for further details relating to the acquisition of Centaur.</w:t>
      </w:r>
    </w:p>
    <w:p>
      <w:pPr>
        <w:spacing w:after="0" w:line="13" w:lineRule="exact"/>
        <w:rPr>
          <w:rFonts w:ascii="Arial" w:cs="Arial" w:eastAsia="Arial" w:hAnsi="Arial"/>
          <w:sz w:val="9"/>
          <w:szCs w:val="9"/>
          <w:i w:val="1"/>
          <w:iCs w:val="1"/>
          <w:color w:val="auto"/>
        </w:rPr>
      </w:pPr>
    </w:p>
    <w:p>
      <w:pPr>
        <w:ind w:left="340" w:hanging="332"/>
        <w:spacing w:after="0" w:line="255" w:lineRule="auto"/>
        <w:tabs>
          <w:tab w:leader="none" w:pos="3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$405 million of goodwill is associated with a reporting unit with zero or negative carrying value. As the reporting unit has a positive fair value, there was no impairment associated with this reporting unit.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Intangible Assets Other than Goodwill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Amortizing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Non-Amortizing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83"/>
              </w:rPr>
              <w:t>Total</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January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 xml:space="preserve">Centaur acquisition </w:t>
            </w:r>
            <w:r>
              <w:rPr>
                <w:rFonts w:ascii="Arial" w:cs="Arial" w:eastAsia="Arial" w:hAnsi="Arial"/>
                <w:sz w:val="21"/>
                <w:szCs w:val="21"/>
                <w:i w:val="1"/>
                <w:iCs w:val="1"/>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Amortization expense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4"/>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Balance as of December 31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jc w:val="right"/>
              <w:ind w:right="2900"/>
              <w:spacing w:after="0"/>
              <w:rPr>
                <w:sz w:val="20"/>
                <w:szCs w:val="20"/>
                <w:color w:val="auto"/>
              </w:rPr>
            </w:pPr>
            <w:r>
              <w:rPr>
                <w:rFonts w:ascii="Arial" w:cs="Arial" w:eastAsia="Arial" w:hAnsi="Arial"/>
                <w:sz w:val="18"/>
                <w:szCs w:val="18"/>
                <w:color w:val="auto"/>
                <w:w w:val="88"/>
              </w:rPr>
              <w:t>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9"/>
          <w:szCs w:val="9"/>
          <w:i w:val="1"/>
          <w:iCs w:val="1"/>
          <w:color w:val="auto"/>
        </w:rPr>
      </w:pPr>
      <w:r>
        <w:rPr>
          <w:rFonts w:ascii="Arial" w:cs="Arial" w:eastAsia="Arial" w:hAnsi="Arial"/>
          <w:sz w:val="14"/>
          <w:szCs w:val="14"/>
          <w:i w:val="1"/>
          <w:iCs w:val="1"/>
          <w:color w:val="auto"/>
        </w:rPr>
        <w:t>See Note 4 for further details relating to the acquisition of Centaur.</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5"/>
              </w:rPr>
              <w:t>December 31, 2017</w:t>
            </w:r>
          </w:p>
        </w:tc>
        <w:tc>
          <w:tcPr>
            <w:tcW w:w="8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3"/>
              </w:rPr>
              <w:t>Accumulated</w:t>
            </w: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r>
      <w:tr>
        <w:trPr>
          <w:trHeight w:val="203"/>
        </w:trPr>
        <w:tc>
          <w:tcPr>
            <w:tcW w:w="2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6"/>
              </w:rPr>
              <w:t>Amortization</w:t>
            </w: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Amortizing intangible assets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6"/>
                <w:szCs w:val="16"/>
                <w:color w:val="auto"/>
              </w:rPr>
              <w:t>Trade names and trademarks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4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6"/>
                <w:szCs w:val="16"/>
                <w:color w:val="auto"/>
              </w:rPr>
              <w:t>Contract rights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Gaming rights and other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84"/>
        </w:trPr>
        <w:tc>
          <w:tcPr>
            <w:tcW w:w="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r>
      <w:tr>
        <w:trPr>
          <w:trHeight w:val="237"/>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Non-amortizing intangible assets</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6"/>
                <w:szCs w:val="16"/>
                <w:color w:val="auto"/>
              </w:rPr>
              <w:t>Trademarks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Gaming rights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7"/>
              </w:rPr>
              <w:t>Total intangible assets other than goodwill</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amortization expense for intangible assets that continue to be amortized was $59 million for the year ended December 31, 2018 and $65 million in each of the years ended December 31, 2017 and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ind w:left="620"/>
              <w:spacing w:after="0"/>
              <w:rPr>
                <w:sz w:val="20"/>
                <w:szCs w:val="20"/>
                <w:color w:val="auto"/>
              </w:rPr>
            </w:pPr>
            <w:r>
              <w:rPr>
                <w:rFonts w:ascii="Arial" w:cs="Arial" w:eastAsia="Arial" w:hAnsi="Arial"/>
                <w:sz w:val="16"/>
                <w:szCs w:val="16"/>
                <w:b w:val="1"/>
                <w:bCs w:val="1"/>
                <w:color w:val="auto"/>
                <w:w w:val="94"/>
              </w:rPr>
              <w:t>Years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9"/>
                <w:szCs w:val="19"/>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Estimated annual amortization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 Fair Value Measurements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assessment of goodwill and other intangible assets for impairment includes an assessment using various Level 2 (EBITDA multiples and discount rate) and Level 3 (forecasted cash flows) inputs. See Note 6 for more information on the application of the use of fair value methodology to measure goodwill and other intangible assets.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We have not elected the fair value measurement option available under GAAP for any of our assets or liabilities that meet the criteria for this option.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fair value of our financial assets and financial liabilities that are required to be measured at fair value as of the date shown: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Balance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Assets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Derivative instruments - interest rate swaps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Liability</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Derivative instruments - interest rate swaps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Level 3 Fair Value Measurements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VICI Call Right balance at beginning of period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and support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right="3580" w:firstLine="135"/>
        <w:spacing w:after="0" w:line="311" w:lineRule="auto"/>
        <w:rPr>
          <w:sz w:val="20"/>
          <w:szCs w:val="20"/>
          <w:color w:val="auto"/>
        </w:rPr>
      </w:pPr>
      <w:r>
        <w:rPr>
          <w:rFonts w:ascii="Arial" w:cs="Arial" w:eastAsia="Arial" w:hAnsi="Arial"/>
          <w:sz w:val="16"/>
          <w:szCs w:val="16"/>
          <w:color w:val="auto"/>
        </w:rPr>
        <w:t xml:space="preserve">Settlement of CEC Restructuring Support and Forbearance Agreement Accrual VICI Call Right balance at end of period </w:t>
      </w:r>
      <w:r>
        <w:rPr>
          <w:rFonts w:ascii="Arial" w:cs="Arial" w:eastAsia="Arial" w:hAnsi="Arial"/>
          <w:sz w:val="21"/>
          <w:szCs w:val="21"/>
          <w:i w:val="1"/>
          <w:i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57"/>
        </w:trPr>
        <w:tc>
          <w:tcPr>
            <w:tcW w:w="7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57"/>
        </w:trPr>
        <w:tc>
          <w:tcPr>
            <w:tcW w:w="7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1157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8880" w:space="720"/>
            <w:col w:w="1820"/>
          </w:cols>
          <w:pgMar w:left="240" w:top="553"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43" w:lineRule="exact"/>
        <w:rPr>
          <w:sz w:val="20"/>
          <w:szCs w:val="20"/>
          <w:color w:val="auto"/>
        </w:rPr>
      </w:pPr>
    </w:p>
    <w:p>
      <w:pPr>
        <w:ind w:left="340" w:hanging="332"/>
        <w:spacing w:after="0" w:line="273" w:lineRule="auto"/>
        <w:tabs>
          <w:tab w:leader="none" w:pos="340" w:val="left"/>
        </w:tabs>
        <w:numPr>
          <w:ilvl w:val="0"/>
          <w:numId w:val="33"/>
        </w:numPr>
        <w:rPr>
          <w:rFonts w:ascii="Arial" w:cs="Arial" w:eastAsia="Arial" w:hAnsi="Arial"/>
          <w:sz w:val="9"/>
          <w:szCs w:val="9"/>
          <w:i w:val="1"/>
          <w:iCs w:val="1"/>
          <w:color w:val="auto"/>
        </w:rPr>
      </w:pPr>
      <w:r>
        <w:rPr>
          <w:rFonts w:ascii="Arial" w:cs="Arial" w:eastAsia="Arial" w:hAnsi="Arial"/>
          <w:sz w:val="14"/>
          <w:szCs w:val="14"/>
          <w:i w:val="1"/>
          <w:iCs w:val="1"/>
          <w:color w:val="auto"/>
        </w:rPr>
        <w:t>The VICI Call Right was remeasured at fair value and then transferred to Accrued expenses and other current liabilities on the Balance Sheet upon settlement on October 6, 2017 because it is an option related to real estate and not a derivative. See Note 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forward-starting interest rate swaps to manage the mix of our debt between fixed and variable rate instruments. During the years ended December 31, 2018 and 2017, respectively, we entered into six and four interest rate swap agreements to fix the interest rate on $2.0 billion and $1.0 billion of variable rate debt. As of December 31, 2018, we have entered into ten interest rate swap agreements for notional amounts totaling $3.0 billion. The interest rate swaps are designated as cash flow hedging instruments. The difference to be paid or received under the terms of the interest rate swap agreements will be accrued as interest rates change and recognized as an adjustment to interest expense for the related debt beginning on December 31, 2018. Changes in the variable interest rates to be paid or received pursuant to the terms of the interest rate swap agreements will have a corresponding effect on future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December 31, 2018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Variable Rate Received as of</w:t>
            </w:r>
          </w:p>
        </w:tc>
        <w:tc>
          <w:tcPr>
            <w:tcW w:w="2160" w:type="dxa"/>
            <w:vAlign w:val="bottom"/>
          </w:tcPr>
          <w:p>
            <w:pPr>
              <w:spacing w:after="0"/>
              <w:rPr>
                <w:sz w:val="17"/>
                <w:szCs w:val="17"/>
                <w:color w:val="auto"/>
              </w:rPr>
            </w:pPr>
          </w:p>
        </w:tc>
      </w:tr>
      <w:tr>
        <w:trPr>
          <w:trHeight w:val="210"/>
        </w:trPr>
        <w:tc>
          <w:tcPr>
            <w:tcW w:w="2420" w:type="dxa"/>
            <w:vAlign w:val="bottom"/>
            <w:gridSpan w:val="2"/>
          </w:tcPr>
          <w:p>
            <w:pPr>
              <w:ind w:left="660"/>
              <w:spacing w:after="0"/>
              <w:rPr>
                <w:sz w:val="20"/>
                <w:szCs w:val="20"/>
                <w:color w:val="auto"/>
              </w:rPr>
            </w:pPr>
            <w:r>
              <w:rPr>
                <w:rFonts w:ascii="Arial" w:cs="Arial" w:eastAsia="Arial" w:hAnsi="Arial"/>
                <w:sz w:val="16"/>
                <w:szCs w:val="16"/>
                <w:b w:val="1"/>
                <w:bCs w:val="1"/>
                <w:color w:val="auto"/>
              </w:rPr>
              <w:t>Effective Date</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 millions)</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Fixed Rate Paid</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8"/>
              </w:rPr>
              <w:t>Maturity Date</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12/31/2018</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2.274%</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2.522%</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12/31/2022</w:t>
            </w:r>
          </w:p>
        </w:tc>
      </w:tr>
      <w:tr>
        <w:trPr>
          <w:trHeight w:val="237"/>
        </w:trPr>
        <w:tc>
          <w:tcPr>
            <w:tcW w:w="23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2.522%</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12/31/2022</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12/31/2018</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12/31/2022</w:t>
            </w:r>
          </w:p>
        </w:tc>
      </w:tr>
      <w:tr>
        <w:trPr>
          <w:trHeight w:val="237"/>
        </w:trPr>
        <w:tc>
          <w:tcPr>
            <w:tcW w:w="23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2.153%</w:t>
            </w: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12/31/2020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12/31/2021</w:t>
            </w:r>
          </w:p>
        </w:tc>
      </w:tr>
      <w:tr>
        <w:trPr>
          <w:trHeight w:val="237"/>
        </w:trPr>
        <w:tc>
          <w:tcPr>
            <w:tcW w:w="23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2.788%</w:t>
            </w: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12/31/2021</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12/31/2022</w:t>
            </w:r>
          </w:p>
        </w:tc>
      </w:tr>
      <w:tr>
        <w:trPr>
          <w:trHeight w:val="237"/>
        </w:trPr>
        <w:tc>
          <w:tcPr>
            <w:tcW w:w="2300" w:type="dxa"/>
            <w:vAlign w:val="bottom"/>
          </w:tcPr>
          <w:p>
            <w:pPr>
              <w:jc w:val="center"/>
              <w:spacing w:after="0"/>
              <w:rPr>
                <w:sz w:val="20"/>
                <w:szCs w:val="20"/>
                <w:color w:val="auto"/>
              </w:rPr>
            </w:pPr>
            <w:r>
              <w:rPr>
                <w:rFonts w:ascii="Arial" w:cs="Arial" w:eastAsia="Arial" w:hAnsi="Arial"/>
                <w:sz w:val="16"/>
                <w:szCs w:val="16"/>
                <w:color w:val="auto"/>
                <w:w w:val="93"/>
              </w:rPr>
              <w:t>1/2/2019</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2.172%</w:t>
            </w: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12/31/2020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2.731%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12/31/2020</w:t>
            </w:r>
          </w:p>
        </w:tc>
      </w:tr>
      <w:tr>
        <w:trPr>
          <w:trHeight w:val="237"/>
        </w:trPr>
        <w:tc>
          <w:tcPr>
            <w:tcW w:w="2300" w:type="dxa"/>
            <w:vAlign w:val="bottom"/>
          </w:tcPr>
          <w:p>
            <w:pPr>
              <w:jc w:val="center"/>
              <w:spacing w:after="0"/>
              <w:rPr>
                <w:sz w:val="20"/>
                <w:szCs w:val="20"/>
                <w:color w:val="auto"/>
              </w:rPr>
            </w:pPr>
            <w:r>
              <w:rPr>
                <w:rFonts w:ascii="Arial" w:cs="Arial" w:eastAsia="Arial" w:hAnsi="Arial"/>
                <w:sz w:val="16"/>
                <w:szCs w:val="16"/>
                <w:color w:val="auto"/>
                <w:w w:val="93"/>
              </w:rPr>
              <w:t>1/2/2019</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2.707%</w:t>
            </w: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12/31/2021</w:t>
            </w: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53"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Methodology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Deferred charges and other assets or Deferred credits and other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effect of derivative instruments designated as hedging instruments on the Balance Sheets for amounts transferred into Accumulated other comprehensive income/(loss) (“AOCI”) was a loss of $16 million for the year ended December 31, 2018 and was immaterial in 2017. The estimated amount of existing losses that are reported in AOCI at the reporting date that are expected to be reclassified into earnings within the next 12 months is approximately $1 million.</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 Accrued Expenses and Other Current Liabilities</w:t>
      </w:r>
    </w:p>
    <w:p>
      <w:pPr>
        <w:spacing w:after="0" w:line="341"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Pr>
          <w:p>
            <w:pPr>
              <w:spacing w:after="0"/>
              <w:rPr>
                <w:sz w:val="17"/>
                <w:szCs w:val="17"/>
                <w:color w:val="auto"/>
              </w:rPr>
            </w:pPr>
          </w:p>
        </w:tc>
        <w:tc>
          <w:tcPr>
            <w:tcW w:w="14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Payroll and other compensation</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VICI Call Right</w:t>
            </w: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Accrued taxes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Advance deposits</w:t>
            </w: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Chip and token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Other accruals</w:t>
            </w: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accrued expenses and other current liabilities</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Call Right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6, 2017 (the “Effective Date”), VICI received a call right (the “VICI Call Right”) for up to five years to purchase and leaseback the real property assets associated with Harrah’s Atlantic City, Harrah’s Laughlin, and Harrah’s New Orleans for a cash purchase price of ten times the agreed upon annual rent for each property. The VICI Call Right is subject to the terms of the CRC Credit Agreement (defined in Note 11). On the Effective Date, the VICI Call Right was transferred to Accrued expenses and other current liabilities on our Balance Sheet at an amount equal to the fair value of the option on the Effective Date. Management does not believe that the liability should continue to be recognized at fair value after initial recognition until the execution or expiration of the option because it is an option related to real estate, not a derivative, and the fair value option has not been elected. Additionally, provided the real estate property assets remain on the Balance Sheets, they will be evaluated for impairment.</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both real estate and equipment used in our operations. As of December 31, 2018, the remaining term of our operating leases ranged from 1 to 79 years with various automatic extensions. For the years ended December 31, 2018, 2017 and 2016, rent expense for operating leases was $51 million, $51 million and $49 million, respectively. In addition to minimum rental commitments, certain of our operating leases provide for contingent rentals based on a percentage of revenues in excess of specified amounts. However, such amounts are not considered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Harrah’s Las Vegas Failed Sale-Leaseback Financing Obligation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22, 2017, we sold certain real estate assets of Harrah’s Las Vegas to VICI and simultaneously entered into a lease agreement with VICI (the “HLV Lease”), which was amended on December 26,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HLV Lease provides for fixed rent (subject to escalation) during an initial term, then rent consisting of both base rent and variable percentage rent elements, and has a 15-year initial term and four five-year renewal options. The HLV Lease provides for annual fixed rent of $87 million and includes escalation provisions beginning in year two of the initial term and continuing through the renewal terms. The HLV Lease also includes provisions for contingent rental payments calculated, in part, based on increases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or decreases of net revenue of the underlying lease property, commencing in year eight of the initial term and continuing through the renewal terms.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HLV Lease was evaluated as a sale-leaseback of real estate. Under the terms of the lease agreement, we contribute to a reserve account for which VICI has the right to collaterally assign the security interest in a future VICI financing. We determined that this contingent-collateral arrangement represents a prohibited form of continuing involvement. Among other things, we estimated that the length of the lease, including optional renewal periods, would represent substantially all (90% or more) of the remaining economic life of the property and facilities subject to the lease, and the terms of the renewal options give the Company the ability to renew the lease at a rate that has the potential of being less than a fair market value rate as determined at the time of renewal. These, among certain other conditions, represent a prohibited form of continuing involvement. Therefore, we determined that this transaction did not qualify for sale-leaseback accounting, and we accounted for the transaction as a financing.</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a failed sale-leaseback transaction, the real estate assets generally remain on the consolidated balance sheet at their historical net book value and are depreciated over their remaining useful lives while a failed sale-leaseback financing obligation is recognized for the proceeds received. Therefore, we continue to reflect the real estate assets on our Balance Sheets in Property and equipment, net as if we were the legal owner, and we continue to recognize depreciation expense over the estimated useful lives. We do not recognize rent expense related to the leases, but we have recorded a liability for the failed sale-leaseback obligation and the majority of the periodic lease payments are recognized as interest expense in the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Minimum Lease Commitments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 Leases</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Financing Obligation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3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2020</w:t>
            </w:r>
          </w:p>
        </w:tc>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2022</w:t>
            </w:r>
          </w:p>
        </w:tc>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2,431</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minimum rental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for discussion of the related party lease agreement that is included in the table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for Failed Sale-Leaseback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Subject to certain exceptions, the payment of all monetary obligations under the HLV Lease is guaranteed by CRC.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party to ordinary and routine litigation incidental to our business. We do not expect the outcome of any such litigation to have a material effect on our consolidated financial position, results of operations, or cash flows, as we do not believe it is reasonably possible that we will incur material losses as a result of such litigation.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 Energy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CEC filed its final notice to proceed with its plan to exit the fully bundled sales system of NV Energy for its Nevada properties and purchase energy, capacity, and/or ancillary services from a provider other than NV Energy. The transition to unbundle electric service was completed in the first quarter of 2018 (the “Cease-Use Date”). As a result of the decision to exit, an order from the Public Utilities Commission of Nevada required that we pay an aggregate exit fee of $33 million related to CRC’s properties. These fees are payable over three to six years at an aggregate present value of $24 million and $26 million, respectively, as of December 31, 2018 and 2017 and were recorded in Accrued expenses and other current liabilities and Deferred credits and other liabilities on the Balance Sheets.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six years following the Cease-Use Date, we will also be required to make ongoing payments to NV Energy for non-bypassable rate charges, which primarily relate to each entity’s share of NV Energy’s portfolio of above-market renewable energy contracts and the costs of decommissioning and remediation of coal-fired power plants. As of the effective date of the transition, the portion of these fees attributable to CRC was $24 million, which was accrued at its present value in the first quarter of 2018. As of December 31, 2018, $18 million was recorded in Accrued expenses and other current liabilities and Deferred credits and other liabilities on the Balance Sheet. The amount will be adjusted in the future if actual fees incurred differ from our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entered into agreements with certain professional sports teams for advertising, marketing, promotional, and sponsorship opportunities. As of December 31, 2018, obligations related to these agreements were $176 million with contracts extending through 2034.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HLV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the HLV Lease, we are required to spend certain minimum amounts on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Uncertainties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2009, Harrah’s New Orleans has undergone audits by state and local departments of revenue related to sales taxes on hotel rooms, parking and entertainment complimentaries. The periods that have been or are currently being audited are 2004 through 2016. In connection with these audits, certain periods have been paid under protest or are currently in various stages of litigation. As a result of these audits, Harrah’s New Orleans had accrued $9 million and $7 million, respectively, as of December 31,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December 31, 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Final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33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020" w:type="dxa"/>
            <w:vAlign w:val="bottom"/>
          </w:tcPr>
          <w:p>
            <w:pPr>
              <w:jc w:val="center"/>
              <w:spacing w:after="0" w:line="203" w:lineRule="exact"/>
              <w:rPr>
                <w:sz w:val="20"/>
                <w:szCs w:val="20"/>
                <w:color w:val="auto"/>
              </w:rPr>
            </w:pPr>
            <w:r>
              <w:rPr>
                <w:rFonts w:ascii="Arial" w:cs="Arial" w:eastAsia="Arial" w:hAnsi="Arial"/>
                <w:sz w:val="16"/>
                <w:szCs w:val="16"/>
                <w:b w:val="1"/>
                <w:bCs w:val="1"/>
                <w:color w:val="auto"/>
                <w:w w:val="87"/>
              </w:rPr>
              <w:t xml:space="preserve">Rate(s) </w:t>
            </w:r>
            <w:r>
              <w:rPr>
                <w:rFonts w:ascii="Arial" w:cs="Arial" w:eastAsia="Arial" w:hAnsi="Arial"/>
                <w:sz w:val="21"/>
                <w:szCs w:val="21"/>
                <w:b w:val="1"/>
                <w:bCs w:val="1"/>
                <w:i w:val="1"/>
                <w:iCs w:val="1"/>
                <w:color w:val="auto"/>
                <w:w w:val="87"/>
                <w:vertAlign w:val="superscript"/>
              </w:rPr>
              <w:t>(1)</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Face Value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7"/>
                <w:szCs w:val="17"/>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Book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Secured debt</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300" w:type="dxa"/>
            <w:vAlign w:val="bottom"/>
            <w:gridSpan w:val="2"/>
          </w:tcPr>
          <w:p>
            <w:pPr>
              <w:ind w:left="140"/>
              <w:spacing w:after="0"/>
              <w:rPr>
                <w:sz w:val="20"/>
                <w:szCs w:val="20"/>
                <w:color w:val="auto"/>
              </w:rPr>
            </w:pPr>
            <w:r>
              <w:rPr>
                <w:rFonts w:ascii="Arial" w:cs="Arial" w:eastAsia="Arial" w:hAnsi="Arial"/>
                <w:sz w:val="16"/>
                <w:szCs w:val="16"/>
                <w:color w:val="auto"/>
              </w:rPr>
              <w:t>CRC Revolving Credit Facility</w:t>
            </w:r>
          </w:p>
        </w:tc>
        <w:tc>
          <w:tcPr>
            <w:tcW w:w="132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(2)</w:t>
            </w:r>
          </w:p>
        </w:tc>
        <w:tc>
          <w:tcPr>
            <w:tcW w:w="138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 w:type="dxa"/>
            <w:vAlign w:val="bottom"/>
            <w:shd w:val="clear" w:color="auto" w:fill="CCEEFF"/>
          </w:tcPr>
          <w:p>
            <w:pPr>
              <w:spacing w:after="0"/>
              <w:rPr>
                <w:sz w:val="23"/>
                <w:szCs w:val="23"/>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CRC Term Loan</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4,653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4,616</w:t>
            </w: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Unsecured debt</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CRC Notes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r>
      <w:tr>
        <w:trPr>
          <w:trHeight w:val="237"/>
        </w:trPr>
        <w:tc>
          <w:tcPr>
            <w:tcW w:w="40" w:type="dxa"/>
            <w:vAlign w:val="bottom"/>
          </w:tcPr>
          <w:p>
            <w:pPr>
              <w:spacing w:after="0"/>
              <w:rPr>
                <w:sz w:val="20"/>
                <w:szCs w:val="20"/>
                <w:color w:val="auto"/>
              </w:rPr>
            </w:pPr>
          </w:p>
        </w:tc>
        <w:tc>
          <w:tcPr>
            <w:tcW w:w="3300" w:type="dxa"/>
            <w:vAlign w:val="bottom"/>
            <w:gridSpan w:val="2"/>
          </w:tcPr>
          <w:p>
            <w:pPr>
              <w:ind w:left="140"/>
              <w:spacing w:after="0"/>
              <w:rPr>
                <w:sz w:val="20"/>
                <w:szCs w:val="20"/>
                <w:color w:val="auto"/>
              </w:rPr>
            </w:pPr>
            <w:r>
              <w:rPr>
                <w:rFonts w:ascii="Arial" w:cs="Arial" w:eastAsia="Arial" w:hAnsi="Arial"/>
                <w:sz w:val="16"/>
                <w:szCs w:val="16"/>
                <w:color w:val="auto"/>
              </w:rPr>
              <w:t>Special Improvement District Bonds</w:t>
            </w:r>
          </w:p>
        </w:tc>
        <w:tc>
          <w:tcPr>
            <w:tcW w:w="1320" w:type="dxa"/>
            <w:vAlign w:val="bottom"/>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debt</w:t>
            </w: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6,465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6,292</w:t>
            </w:r>
          </w:p>
        </w:tc>
      </w:tr>
      <w:tr>
        <w:trPr>
          <w:trHeight w:val="237"/>
        </w:trPr>
        <w:tc>
          <w:tcPr>
            <w:tcW w:w="40" w:type="dxa"/>
            <w:vAlign w:val="bottom"/>
          </w:tcPr>
          <w:p>
            <w:pPr>
              <w:spacing w:after="0"/>
              <w:rPr>
                <w:sz w:val="20"/>
                <w:szCs w:val="20"/>
                <w:color w:val="auto"/>
              </w:rPr>
            </w:pPr>
          </w:p>
        </w:tc>
        <w:tc>
          <w:tcPr>
            <w:tcW w:w="3300" w:type="dxa"/>
            <w:vAlign w:val="bottom"/>
            <w:gridSpan w:val="2"/>
          </w:tcPr>
          <w:p>
            <w:pPr>
              <w:ind w:left="240"/>
              <w:spacing w:after="0"/>
              <w:rPr>
                <w:sz w:val="20"/>
                <w:szCs w:val="20"/>
                <w:color w:val="auto"/>
              </w:rPr>
            </w:pPr>
            <w:r>
              <w:rPr>
                <w:rFonts w:ascii="Arial" w:cs="Arial" w:eastAsia="Arial" w:hAnsi="Arial"/>
                <w:sz w:val="16"/>
                <w:szCs w:val="16"/>
                <w:color w:val="auto"/>
              </w:rPr>
              <w:t>Current portion of long-term debt</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6,318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6"/>
                <w:szCs w:val="16"/>
                <w:color w:val="auto"/>
              </w:rPr>
              <w:t>Unamortized discounts and deferred finance charges</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40" w:type="dxa"/>
            <w:vAlign w:val="bottom"/>
          </w:tcPr>
          <w:p>
            <w:pPr>
              <w:spacing w:after="0"/>
              <w:rPr>
                <w:sz w:val="20"/>
                <w:szCs w:val="20"/>
                <w:color w:val="auto"/>
              </w:rPr>
            </w:pPr>
          </w:p>
        </w:tc>
        <w:tc>
          <w:tcPr>
            <w:tcW w:w="3300" w:type="dxa"/>
            <w:vAlign w:val="bottom"/>
            <w:gridSpan w:val="2"/>
          </w:tcPr>
          <w:p>
            <w:pPr>
              <w:ind w:left="460"/>
              <w:spacing w:after="0"/>
              <w:rPr>
                <w:sz w:val="20"/>
                <w:szCs w:val="20"/>
                <w:color w:val="auto"/>
              </w:rPr>
            </w:pPr>
            <w:r>
              <w:rPr>
                <w:rFonts w:ascii="Arial" w:cs="Arial" w:eastAsia="Arial" w:hAnsi="Arial"/>
                <w:sz w:val="16"/>
                <w:szCs w:val="16"/>
                <w:color w:val="auto"/>
              </w:rPr>
              <w:t>Fair value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6,061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9"/>
        </w:trPr>
        <w:tc>
          <w:tcPr>
            <w:tcW w:w="334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____________________</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3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Interest rate is fixed, except where noted.</w:t>
      </w:r>
    </w:p>
    <w:p>
      <w:pPr>
        <w:spacing w:after="0" w:line="13" w:lineRule="exact"/>
        <w:rPr>
          <w:rFonts w:ascii="Arial" w:cs="Arial" w:eastAsia="Arial" w:hAnsi="Arial"/>
          <w:sz w:val="9"/>
          <w:szCs w:val="9"/>
          <w:i w:val="1"/>
          <w:iCs w:val="1"/>
          <w:color w:val="auto"/>
        </w:rPr>
      </w:pPr>
    </w:p>
    <w:p>
      <w:pPr>
        <w:jc w:val="both"/>
        <w:ind w:left="340" w:hanging="332"/>
        <w:spacing w:after="0" w:line="241" w:lineRule="auto"/>
        <w:tabs>
          <w:tab w:leader="none" w:pos="3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London Interbank Offered Rate (“LIBOR”) plus 2.00%. On May 4, 2018, the interest rate was reduced from the previous LIBOR plus 2.25% to LIBOR plus 2.13% and on August 2, 2018, the interest rate was further reduced to LIBOR plus 2.00% due to step-downs based on the senior secured leverage ratio (“SSLR”) in accordance with the CRC Credit Agreement. On November 2, 2018, the interest rate was increased to LIBOR plus 2.13% due to a step-up based on the SSLR as of September 30, 2018.</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LIBOR plus 2.75%.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Estimated Debt Service Requirements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Annual maturities of long-term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Estimated interest payments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 xml:space="preserve">Total debt service payments </w:t>
            </w:r>
            <w:r>
              <w:rPr>
                <w:rFonts w:ascii="Arial" w:cs="Arial" w:eastAsia="Arial" w:hAnsi="Arial"/>
                <w:sz w:val="21"/>
                <w:szCs w:val="21"/>
                <w:i w:val="1"/>
                <w:iCs w:val="1"/>
                <w:color w:val="auto"/>
                <w:vertAlign w:val="superscript"/>
              </w:rPr>
              <w:t>(1)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ind w:left="20"/>
              <w:spacing w:after="0"/>
              <w:rPr>
                <w:sz w:val="20"/>
                <w:szCs w:val="20"/>
                <w:color w:val="auto"/>
              </w:rPr>
            </w:pPr>
            <w:r>
              <w:rPr>
                <w:rFonts w:ascii="Arial" w:cs="Arial" w:eastAsia="Arial" w:hAnsi="Arial"/>
                <w:sz w:val="18"/>
                <w:szCs w:val="18"/>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73" w:lineRule="auto"/>
        <w:tabs>
          <w:tab w:leader="none" w:pos="340"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Debt principal payments are estimated amounts based on maturity dates and potential borrowings under our revolving credit facility. Interest payments are estimated based on the forward-looking LIBOR curve and include the estimated impact of the ten interest rate swap agreements (see Note 7). Actual payments may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 of long-term debt as of December 31, 2018 includes the principal payments on the term loans, other unsecured borrowings, and special improvement district bonds that are expected to be paid within 12 months.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Borrowings under the revolving credit facility are subject to the provisions of the credit facility agreement. The credit facility agreement has a contractual maturity of greater than one year. Amounts borrowed, if any, under the revolving credit facility are intended to satisfy short term liquidity needs and would be classified as current.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Deferred Finance Charges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discounts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December 31, 2018 based on market quotes of our publicly traded debt. We classify the fair value of debt within Level 1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CRC Term Loan and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CRC entered into a new $5.7 billion senior secured credit facility (the “CRC Senior Secured Credit Facilities”), including a $1.0 billion five-year revolving credit facility (the “CRC Revolving Credit Facility”) and a $4.7 billion seven-year first lien term loan (the “CRC Term Loan”). The CRC Senior Secured Credit Facilities were funded and closed pursuant to the Credit Agreement, dated as of December 22, 2017 (the “CRC Credit Agreement”).</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CRC Term Loan matures in 2024. The CRC Revolving Credit Facility matures in 2022 and includes a letter of credit sub-facility. The CRC Term Loan requires scheduled quarterly principal payments in amounts equal to 0.25% of the original aggregate principal amount, with the balance due at maturity. The CRC Credit Agreement also includes customary voluntary and mandatory prepayment provisions, subject to certain exceptions. As of December 31, 2018, $100 million was outstanding under the CRC Revolving Credit Facility and approximately $36 million was committed to outstanding letters of credit.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 or</w:t>
      </w:r>
    </w:p>
    <w:p>
      <w:pPr>
        <w:spacing w:after="0" w:line="46" w:lineRule="exact"/>
        <w:rPr>
          <w:sz w:val="20"/>
          <w:szCs w:val="20"/>
          <w:color w:val="auto"/>
        </w:rPr>
      </w:pPr>
    </w:p>
    <w:p>
      <w:pPr>
        <w:jc w:val="both"/>
        <w:ind w:firstLine="8"/>
        <w:spacing w:after="0" w:line="270" w:lineRule="auto"/>
        <w:tabs>
          <w:tab w:leader="none" w:pos="25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in the case of the CRC Revolving Credit Facility, 2.25% per annum in the case of any LIBOR loan and 1.25% per annum in the case of any base rate loan, subject in the case of the CRC Revolving Credit Facility to two 0.125% step-downs based on CRC’s SSLR, the ratio of first lien senior secured net debt to adjusted earnings before interest, taxes, depreciation and amortization.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5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CRC Notes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16, 2017, CRC Escrow Issuer LLC (“Escrow Issuer”) and CRC Finco. Inc., then both wholly owned subsidiaries of CEC, issued $1.7 billion aggregate principal amount of 5.25% senior notes due 2025 (the “CRC Notes”). On December 22, 2017, Escrow Issuer merged with and into CRC, with CRC as the surviving entity and issuer of the CRC Notes.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Debt and Revolving Credit Facility Cash Flows from Financing Activities in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Proceeds</w:t>
            </w:r>
          </w:p>
        </w:tc>
        <w:tc>
          <w:tcPr>
            <w:tcW w:w="260" w:type="dxa"/>
            <w:vAlign w:val="bottom"/>
          </w:tcPr>
          <w:p>
            <w:pPr>
              <w:spacing w:after="0"/>
              <w:rPr>
                <w:sz w:val="17"/>
                <w:szCs w:val="17"/>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Repayments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CRC Revolving Credit Facility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CRC Term Loan</w:t>
            </w: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Restrictive Covenants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CRC Credit Agreement and the indenture related to the CRC Notes (the “CRC Indenture”) contain covenants which are standard and customary for these types of agreements. These include negative covenants, which, subject to certain exceptions and baskets, limit the Company’s ability to (among other items) incur additional indebtedness, make investments, make restricted payments, including dividends, grant liens, sell assets and make acquisitions.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CRC Revolving Credit Facility includes a maximum first-priority net SSLR financial covenant of 6.35:1, which is applicable solely to the extent that certain testing conditions are satisfied.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borrowings under the CRC Credit Agreement are guaranteed by the material, domestic, wholly owned subsidiaries of CRC (subject to exceptions) and substantially all of the applicable existing and future property and assets of CRC and the subsidiary guarantors serve as collateral for the borrowings.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CRC Notes are guaranteed on a senior unsecured basis by each wholly owned, domestic subsidiary of CRC that is a subsidiary guarantor with respect to the CRC Senior Secured 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 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2014, the FASB issued a new standard related to revenue recognition,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adopted the standard effective January 1, 2018, using the full retrospective method, which requires the Company to recast each prior reporting period presented consistent with the new standard. The most significant effects of adopting the new standard related to the accounting for our Caesars Rewards customer loyalty program and casino promotional allowances.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Caesars Rewards affects revenue from our four core businesses: casino entertainment, food and beverage, rooms and hotel, and entertainment and other business operations. Previously, the Company accrued a liability based on the estimated cost of fulfilling the redemption of Reward Credits, after consideration of estimated forfeitures (referred to as “breakage”), based upon the cost of historical redemptions. Upon adoption of the new accounting standard, Reward Credits are no longer recorded at cost, and a deferred revenue model is used to account for the classification and timing of revenue recognized as well as the classification of related expenses when Reward Credits are redeemed. This results in a portion of casino revenues being recorded as deferred revenue as Reward Credits are earned. Revenue is recognized in a future period based on when and for what good or service the Reward Credits are redeemed (e.g., a hotel room).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5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previously recorded promotional allowances in a separate line item within net revenues. As part of adopting the new standard, promotional allowances are no longer presented separately. Alternatively, revenue is recognized based on relative standalone selling prices for transactions with more than one performance obligation. For example, when a casino customer is given a complimentary room, we are required to allocate a portion of the casino revenues earned from the customer to rooms revenues based on the standalone selling price of the room. As a result of this change, we are reporting substantially lower casino revenues; however, this change, and other less significant adjustments that were required upon adoption, did not have an aggregate material effect on total net revenues, operating income, net income, or cash flows.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Adopting New Revenue Recognition Standard -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Previously Reported</w:t>
            </w:r>
          </w:p>
        </w:tc>
        <w:tc>
          <w:tcPr>
            <w:tcW w:w="220" w:type="dxa"/>
            <w:vAlign w:val="bottom"/>
          </w:tcPr>
          <w:p>
            <w:pPr>
              <w:spacing w:after="0"/>
              <w:rPr>
                <w:sz w:val="17"/>
                <w:szCs w:val="17"/>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ASC Adjustments</w:t>
            </w:r>
          </w:p>
        </w:tc>
        <w:tc>
          <w:tcPr>
            <w:tcW w:w="36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As Recast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6"/>
                <w:szCs w:val="16"/>
                <w:color w:val="auto"/>
              </w:rPr>
              <w:t>Due from affiliates,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6"/>
                <w:szCs w:val="16"/>
                <w:color w:val="auto"/>
              </w:rPr>
              <w:t>December 31, 2016</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6"/>
                <w:szCs w:val="16"/>
                <w:color w:val="auto"/>
              </w:rPr>
              <w:t>December 31, 2015</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Member’s equity</w:t>
            </w: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1,762</w:t>
            </w:r>
          </w:p>
        </w:tc>
      </w:tr>
      <w:tr>
        <w:trPr>
          <w:trHeight w:val="33"/>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Adopting New Revenue Recognition Standard -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Year Ended December 31, 2017</w:t>
            </w:r>
          </w:p>
        </w:tc>
        <w:tc>
          <w:tcPr>
            <w:tcW w:w="140" w:type="dxa"/>
            <w:vAlign w:val="bottom"/>
          </w:tcPr>
          <w:p>
            <w:pPr>
              <w:spacing w:after="0"/>
              <w:rPr>
                <w:sz w:val="18"/>
                <w:szCs w:val="18"/>
                <w:color w:val="auto"/>
              </w:rPr>
            </w:pPr>
          </w:p>
        </w:tc>
        <w:tc>
          <w:tcPr>
            <w:tcW w:w="31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 2016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Prior to Adoption</w:t>
            </w: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Post Adoption</w:t>
            </w:r>
          </w:p>
        </w:tc>
        <w:tc>
          <w:tcPr>
            <w:tcW w:w="14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Prior to Adoption</w:t>
            </w:r>
          </w:p>
        </w:tc>
        <w:tc>
          <w:tcPr>
            <w:tcW w:w="200" w:type="dxa"/>
            <w:vAlign w:val="bottom"/>
          </w:tcPr>
          <w:p>
            <w:pPr>
              <w:spacing w:after="0"/>
              <w:rPr>
                <w:sz w:val="19"/>
                <w:szCs w:val="19"/>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Post Adoption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Casino</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1,836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Food and beverage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Rooms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Casino promotional allowances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r>
      <w:tr>
        <w:trPr>
          <w:trHeight w:val="231"/>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Operating expenses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Direct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660" w:type="dxa"/>
            <w:vAlign w:val="bottom"/>
            <w:gridSpan w:val="2"/>
          </w:tcPr>
          <w:p>
            <w:pPr>
              <w:ind w:left="400"/>
              <w:spacing w:after="0"/>
              <w:rPr>
                <w:sz w:val="20"/>
                <w:szCs w:val="20"/>
                <w:color w:val="auto"/>
              </w:rPr>
            </w:pPr>
            <w:r>
              <w:rPr>
                <w:rFonts w:ascii="Arial" w:cs="Arial" w:eastAsia="Arial" w:hAnsi="Arial"/>
                <w:sz w:val="16"/>
                <w:szCs w:val="16"/>
                <w:color w:val="auto"/>
              </w:rPr>
              <w:t>Casino</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Food and beverage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400"/>
              <w:spacing w:after="0"/>
              <w:rPr>
                <w:sz w:val="20"/>
                <w:szCs w:val="20"/>
                <w:color w:val="auto"/>
              </w:rPr>
            </w:pPr>
            <w:r>
              <w:rPr>
                <w:rFonts w:ascii="Arial" w:cs="Arial" w:eastAsia="Arial" w:hAnsi="Arial"/>
                <w:sz w:val="16"/>
                <w:szCs w:val="16"/>
                <w:color w:val="auto"/>
              </w:rPr>
              <w:t>Rooms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Property, general, administrative,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Management fees to related parties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Corporate expense</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operating costs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40" w:type="dxa"/>
            <w:vAlign w:val="bottom"/>
          </w:tcPr>
          <w:p>
            <w:pPr>
              <w:spacing w:after="0"/>
              <w:rPr>
                <w:sz w:val="18"/>
                <w:szCs w:val="18"/>
                <w:color w:val="auto"/>
              </w:rPr>
            </w:pPr>
          </w:p>
        </w:tc>
        <w:tc>
          <w:tcPr>
            <w:tcW w:w="4660" w:type="dxa"/>
            <w:vAlign w:val="bottom"/>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Restructuring and support expenses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40" w:type="dxa"/>
            <w:vAlign w:val="bottom"/>
          </w:tcPr>
          <w:p>
            <w:pPr>
              <w:spacing w:after="0"/>
              <w:rPr>
                <w:sz w:val="18"/>
                <w:szCs w:val="18"/>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44"/>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Net income/(loss)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53"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 by Region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4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91"/>
              </w:rPr>
              <w:t>Year Ended December 31, 2018</w:t>
            </w:r>
          </w:p>
        </w:tc>
        <w:tc>
          <w:tcPr>
            <w:tcW w:w="14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9"/>
                <w:szCs w:val="19"/>
                <w:color w:val="auto"/>
              </w:rPr>
            </w:pPr>
          </w:p>
        </w:tc>
        <w:tc>
          <w:tcPr>
            <w:tcW w:w="1420" w:type="dxa"/>
            <w:vAlign w:val="bottom"/>
          </w:tcPr>
          <w:p>
            <w:pPr>
              <w:jc w:val="right"/>
              <w:ind w:right="399"/>
              <w:spacing w:after="0"/>
              <w:rPr>
                <w:sz w:val="20"/>
                <w:szCs w:val="20"/>
                <w:color w:val="auto"/>
              </w:rPr>
            </w:pPr>
            <w:r>
              <w:rPr>
                <w:rFonts w:ascii="Arial" w:cs="Arial" w:eastAsia="Arial" w:hAnsi="Arial"/>
                <w:sz w:val="16"/>
                <w:szCs w:val="16"/>
                <w:b w:val="1"/>
                <w:bCs w:val="1"/>
                <w:color w:val="auto"/>
              </w:rPr>
              <w:t>Las Vegas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Other U.S.</w:t>
            </w:r>
          </w:p>
        </w:tc>
        <w:tc>
          <w:tcPr>
            <w:tcW w:w="40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Food and beverage</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Entertainment and other</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contract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3,659</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5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4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91"/>
              </w:rPr>
              <w:t>Year Ended December 31, 2017</w:t>
            </w:r>
          </w:p>
        </w:tc>
        <w:tc>
          <w:tcPr>
            <w:tcW w:w="14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9"/>
                <w:szCs w:val="19"/>
                <w:color w:val="auto"/>
              </w:rPr>
            </w:pPr>
          </w:p>
        </w:tc>
        <w:tc>
          <w:tcPr>
            <w:tcW w:w="1420" w:type="dxa"/>
            <w:vAlign w:val="bottom"/>
          </w:tcPr>
          <w:p>
            <w:pPr>
              <w:jc w:val="right"/>
              <w:ind w:right="399"/>
              <w:spacing w:after="0"/>
              <w:rPr>
                <w:sz w:val="20"/>
                <w:szCs w:val="20"/>
                <w:color w:val="auto"/>
              </w:rPr>
            </w:pPr>
            <w:r>
              <w:rPr>
                <w:rFonts w:ascii="Arial" w:cs="Arial" w:eastAsia="Arial" w:hAnsi="Arial"/>
                <w:sz w:val="16"/>
                <w:szCs w:val="16"/>
                <w:b w:val="1"/>
                <w:bCs w:val="1"/>
                <w:color w:val="auto"/>
              </w:rPr>
              <w:t>Las Vegas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Other U.S.</w:t>
            </w:r>
          </w:p>
        </w:tc>
        <w:tc>
          <w:tcPr>
            <w:tcW w:w="40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Food and beverage</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795</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Entertainment and other</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360</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contract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5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2"/>
              </w:rPr>
              <w:t>Year Ended December 31, 2016</w:t>
            </w:r>
          </w:p>
        </w:tc>
        <w:tc>
          <w:tcPr>
            <w:tcW w:w="14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Las Vegas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Other U.S.</w:t>
            </w:r>
          </w:p>
        </w:tc>
        <w:tc>
          <w:tcPr>
            <w:tcW w:w="40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Casino</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Food and beverage</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Entertainment and other</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contract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analyze our revenues based upon the type of services we provide and the geographic location of the related property. We recognize revenue when control over the goods and services we provide has transferred to the customer, which is generally when the services are performed and when we have no substantive performance obligation remaining. Sales and other taxes collected from customers on behalf of governmental authorities are accounted for on a net basis and are not included in net revenues or operating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Casino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Casino revenues include revenues generated by our casino operations and casino related activities such as poker, pari-mutuel wagering, and tournaments, less sales incentives and other adjustments. Casino revenues are measured by the aggregate net difference between gaming wins and losses. Jackpots, other than the incremental amount of progressive jackpots, are recognized at the time they are won by customers. We accrue the incremental amount of progressive jackpots as the progressive machine is played, and the progressive jackpot amount increases, with a corresponding reduction to casino revenues. Funds deposited by customers in advance along with chips and slot vouchers in a customer’s possession are recorded in Accrued expenses and other current liabilities on our Balance Sheets until such amounts are redeemed or used in gaming play by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Non-Gaming Revenues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Rooms revenue, food and beverage revenue, and entertainment and other revenue include: (i) the actual amounts paid for such services (less any amounts allocated to unperformed performance obligations, such as Reward Credits, described below); (ii) the</w:t>
      </w:r>
    </w:p>
    <w:p>
      <w:pPr>
        <w:sectPr>
          <w:pgSz w:w="11900" w:h="16838" w:orient="portrait"/>
          <w:cols w:equalWidth="0" w:num="1">
            <w:col w:w="11420"/>
          </w:cols>
          <w:pgMar w:left="240" w:top="55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53"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value of Reward Credits redeemed for such services; and (iii) the portion of the transaction price allocated to complimentary goods or services provided in conjunction with other revenue-generating activities. Rooms revenue is generally recognized over time, consistent with the customer’s reservation period. Food and beverage and entertainment and other revenues are recognized at the point in time the services are performed or events are held. Amounts paid in advance, such as advance deposits on rooms and advance ticket sales, are recorded as a liability until the goods or services are provided to the customer (see Contract Liabilities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revenue primarily includes revenue from third-party real estate leasing arrangements at our properties. Rental income is recognized ratably over the lease term with contingent rental income being recognized when the right to receive such rental income is established according to the lease agreements.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Rewards Loyalty Program</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Caesars’ customer loyalty program, Caesars Rewards, grants Reward Credits to Caesars Rewards Members based on on-property spending, including gaming, hotel, dining, and retail shopping at all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standalone selling prices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presented as a Contract liability on our accompanying Balance Sheets. Any amounts allocated to Contract liabilities are recognized as revenue when the Reward Credits are redeemed in accordance with the specific recognition policy of the activity for which the credits are redeemed. This balance is further described below under Contract Liabilities.</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Complimentaries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our normal business operations, we often provide lodging, transportation, food and beverage, entertainment, free play and other goods and services to our customers at no additional charge. Alternatively, Reward Credits can be redeemed for these services. Both are considered complimentaries. Such complimentaries are provided in conjunction with other revenue-earning activities and are generally provided to encourage additional customer spending on those activities. Accordingly, we allocate a portion of the transaction price we receive from such customers to the complimentary goods and services. We perform this allocation based on the SSP of the underlying goods and services, which is determined based upon the weighted-average cash sales prices received for similar services at similar points during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Receivables and Contract Liabilities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 credit to approved casino customers following investigations of creditworthiness. Business or economic conditions or other significant events could affect the collectibility of these receivables. Accounts receivable are non-interest bearing and are initially recorded at cost.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play represents a significant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personal contacts, the use of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are written off when management deems the account to be uncollectible. Recoveries of accounts previously written off are recorded when received. 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allowance for doubtful accounts. Receivables are reported net of the allowance for doubtful accounts.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December 31,</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Pr>
          <w:p>
            <w:pPr>
              <w:spacing w:after="0"/>
              <w:rPr>
                <w:sz w:val="19"/>
                <w:szCs w:val="19"/>
                <w:color w:val="auto"/>
              </w:rPr>
            </w:pPr>
          </w:p>
        </w:tc>
        <w:tc>
          <w:tcPr>
            <w:tcW w:w="14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Casino</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Food and beverage and rooms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Entertainment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40" w:type="dxa"/>
            <w:vAlign w:val="bottom"/>
          </w:tcPr>
          <w:p>
            <w:pPr>
              <w:spacing w:after="0"/>
              <w:rPr>
                <w:sz w:val="18"/>
                <w:szCs w:val="18"/>
                <w:color w:val="auto"/>
              </w:rPr>
            </w:pPr>
          </w:p>
        </w:tc>
        <w:tc>
          <w:tcPr>
            <w:tcW w:w="5680" w:type="dxa"/>
            <w:vAlign w:val="bottom"/>
            <w:gridSpan w:val="2"/>
          </w:tcPr>
          <w:p>
            <w:pPr>
              <w:ind w:left="240"/>
              <w:spacing w:after="0"/>
              <w:rPr>
                <w:sz w:val="20"/>
                <w:szCs w:val="20"/>
                <w:color w:val="auto"/>
              </w:rPr>
            </w:pPr>
            <w:r>
              <w:rPr>
                <w:rFonts w:ascii="Arial" w:cs="Arial" w:eastAsia="Arial" w:hAnsi="Arial"/>
                <w:sz w:val="16"/>
                <w:szCs w:val="16"/>
                <w:color w:val="auto"/>
              </w:rPr>
              <w:t>Contract receivables, net</w:t>
            </w: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44"/>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6"/>
                <w:szCs w:val="16"/>
                <w:color w:val="auto"/>
              </w:rPr>
              <w:t>Receivables, net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Contracts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Other</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January 1, 2016</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Provision for doubtful accounts</w:t>
            </w:r>
          </w:p>
        </w:tc>
        <w:tc>
          <w:tcPr>
            <w:tcW w:w="130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Write-offs less recoveries</w:t>
            </w:r>
          </w:p>
        </w:tc>
        <w:tc>
          <w:tcPr>
            <w:tcW w:w="1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Balance as of December 31, 2016</w:t>
            </w: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Provision for doubtful accounts</w:t>
            </w: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Write-offs less recoveries</w:t>
            </w:r>
          </w:p>
        </w:tc>
        <w:tc>
          <w:tcPr>
            <w:tcW w:w="1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Provision for doubtful accounts</w:t>
            </w:r>
          </w:p>
        </w:tc>
        <w:tc>
          <w:tcPr>
            <w:tcW w:w="130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Write-offs less recoveries</w:t>
            </w:r>
          </w:p>
        </w:tc>
        <w:tc>
          <w:tcPr>
            <w:tcW w:w="1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4"/>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Balance as of December 31, 2018</w:t>
            </w:r>
          </w:p>
        </w:tc>
        <w:tc>
          <w:tcPr>
            <w:tcW w:w="130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See Note 4 for further details relating to the acquisition of Centaur.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3"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Caesars Rewards</w:t>
            </w: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Customer Advances</w:t>
            </w:r>
          </w:p>
        </w:tc>
        <w:tc>
          <w:tcPr>
            <w:tcW w:w="400" w:type="dxa"/>
            <w:vAlign w:val="bottom"/>
          </w:tcPr>
          <w:p>
            <w:pPr>
              <w:spacing w:after="0"/>
              <w:rPr>
                <w:sz w:val="17"/>
                <w:szCs w:val="17"/>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Transfer from CES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Amount recognized from the 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Amount earned and recognized within the period</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Balance as of December 31, 2017 </w:t>
            </w:r>
            <w:r>
              <w:rPr>
                <w:rFonts w:ascii="Arial" w:cs="Arial" w:eastAsia="Arial" w:hAnsi="Arial"/>
                <w:sz w:val="21"/>
                <w:szCs w:val="21"/>
                <w:i w:val="1"/>
                <w:iCs w:val="1"/>
                <w:color w:val="auto"/>
                <w:vertAlign w:val="superscript"/>
              </w:rPr>
              <w:t>(1)</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2"/>
          </w:tcPr>
          <w:p>
            <w:pPr>
              <w:ind w:left="240"/>
              <w:spacing w:after="0"/>
              <w:rPr>
                <w:sz w:val="20"/>
                <w:szCs w:val="20"/>
                <w:color w:val="auto"/>
              </w:rPr>
            </w:pPr>
            <w:r>
              <w:rPr>
                <w:rFonts w:ascii="Arial" w:cs="Arial" w:eastAsia="Arial" w:hAnsi="Arial"/>
                <w:sz w:val="16"/>
                <w:szCs w:val="16"/>
                <w:color w:val="auto"/>
              </w:rPr>
              <w:t xml:space="preserve">Amount recognized during the period </w:t>
            </w:r>
            <w:r>
              <w:rPr>
                <w:rFonts w:ascii="Arial" w:cs="Arial" w:eastAsia="Arial" w:hAnsi="Arial"/>
                <w:sz w:val="21"/>
                <w:szCs w:val="21"/>
                <w:i w:val="1"/>
                <w:iCs w:val="1"/>
                <w:color w:val="auto"/>
                <w:vertAlign w:val="superscript"/>
              </w:rPr>
              <w:t>(2)</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Amount accrued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5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 xml:space="preserve">Balance as of December 31, 2018 </w:t>
            </w:r>
            <w:r>
              <w:rPr>
                <w:rFonts w:ascii="Arial" w:cs="Arial" w:eastAsia="Arial" w:hAnsi="Arial"/>
                <w:sz w:val="21"/>
                <w:szCs w:val="21"/>
                <w:i w:val="1"/>
                <w:iCs w:val="1"/>
                <w:color w:val="auto"/>
                <w:vertAlign w:val="superscript"/>
              </w:rPr>
              <w:t>(3)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9"/>
          <w:szCs w:val="9"/>
          <w:i w:val="1"/>
          <w:iCs w:val="1"/>
          <w:color w:val="auto"/>
        </w:rPr>
      </w:pPr>
      <w:r>
        <w:rPr>
          <w:rFonts w:ascii="Arial" w:cs="Arial" w:eastAsia="Arial" w:hAnsi="Arial"/>
          <w:sz w:val="14"/>
          <w:szCs w:val="14"/>
          <w:i w:val="1"/>
          <w:iCs w:val="1"/>
          <w:color w:val="auto"/>
        </w:rPr>
        <w:t>$2 million included within Deferred credits and other liabilities as of December 31, 2017.</w:t>
      </w:r>
    </w:p>
    <w:p>
      <w:pPr>
        <w:spacing w:after="0" w:line="13" w:lineRule="exact"/>
        <w:rPr>
          <w:rFonts w:ascii="Arial" w:cs="Arial" w:eastAsia="Arial" w:hAnsi="Arial"/>
          <w:sz w:val="9"/>
          <w:szCs w:val="9"/>
          <w:i w:val="1"/>
          <w:iCs w:val="1"/>
          <w:color w:val="auto"/>
        </w:rPr>
      </w:pPr>
    </w:p>
    <w:p>
      <w:pPr>
        <w:ind w:left="340" w:hanging="332"/>
        <w:spacing w:after="0"/>
        <w:tabs>
          <w:tab w:leader="none" w:pos="340" w:val="left"/>
        </w:tabs>
        <w:numPr>
          <w:ilvl w:val="0"/>
          <w:numId w:val="38"/>
        </w:numPr>
        <w:rPr>
          <w:rFonts w:ascii="Arial" w:cs="Arial" w:eastAsia="Arial" w:hAnsi="Arial"/>
          <w:sz w:val="9"/>
          <w:szCs w:val="9"/>
          <w:i w:val="1"/>
          <w:iCs w:val="1"/>
          <w:color w:val="auto"/>
        </w:rPr>
      </w:pPr>
      <w:r>
        <w:rPr>
          <w:rFonts w:ascii="Arial" w:cs="Arial" w:eastAsia="Arial" w:hAnsi="Arial"/>
          <w:sz w:val="14"/>
          <w:szCs w:val="14"/>
          <w:i w:val="1"/>
          <w:iCs w:val="1"/>
          <w:color w:val="auto"/>
        </w:rPr>
        <w:t>Includes $35 million for Caesars Rewards and $43 million for Customer Advances recognized from the December 31, 2017 Contract liability balances.</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38"/>
        </w:numPr>
        <w:rPr>
          <w:rFonts w:ascii="Arial" w:cs="Arial" w:eastAsia="Arial" w:hAnsi="Arial"/>
          <w:sz w:val="9"/>
          <w:szCs w:val="9"/>
          <w:i w:val="1"/>
          <w:iCs w:val="1"/>
          <w:color w:val="auto"/>
        </w:rPr>
      </w:pPr>
      <w:r>
        <w:rPr>
          <w:rFonts w:ascii="Arial" w:cs="Arial" w:eastAsia="Arial" w:hAnsi="Arial"/>
          <w:sz w:val="14"/>
          <w:szCs w:val="14"/>
          <w:i w:val="1"/>
          <w:iCs w:val="1"/>
          <w:color w:val="auto"/>
        </w:rPr>
        <w:t>$3 million included within Deferred credits and other liabilities as of December 31, 2018.</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Contract liabilities related to Caesars Rewards was reduced by $20 million during the year ended 2018 representing the revenue related to Reward Credits redeemed at Caesars-affiliated properties that are not consolidated with CRC (see Note 15).</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customer advances and their corresponding performance obligations are satisfied within 12 months of the date of receipt of advanced payment. While Rewards Credits are generally redeemed by customers over a four-year period from when they were earned, of the total Reward Credits expected to be redeemed, approximately 90% are redeemed within one year and approximately 10% are redeemed beyond one year.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 Multi-employer Pension Plans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Contributions are made to a number of multi-employer defined benefit pension plans under the terms of collective-bargaining agreements that cover our union-represented employees. The risks of participating in these multi-employer plans are different from a single-employer plan in the following respects:</w:t>
      </w:r>
    </w:p>
    <w:p>
      <w:pPr>
        <w:spacing w:after="0" w:line="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those plans an amount based on the underfunding of the plan, referred to as a “withdrawal liability.”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Multi-employer Pension Plan Participation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Pension Protection Act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Contributions</w:t>
            </w:r>
            <w:r>
              <w:rPr>
                <w:rFonts w:ascii="Arial" w:cs="Arial" w:eastAsia="Arial" w:hAnsi="Arial"/>
                <w:sz w:val="8"/>
                <w:szCs w:val="8"/>
                <w:b w:val="1"/>
                <w:bCs w:val="1"/>
                <w:i w:val="1"/>
                <w:iCs w:val="1"/>
                <w:color w:val="auto"/>
                <w:w w:val="94"/>
              </w:rPr>
              <w:t>(2)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 xml:space="preserve">Zone Status </w:t>
            </w:r>
            <w:r>
              <w:rPr>
                <w:rFonts w:ascii="Arial" w:cs="Arial" w:eastAsia="Arial" w:hAnsi="Arial"/>
                <w:sz w:val="8"/>
                <w:szCs w:val="8"/>
                <w:b w:val="1"/>
                <w:bCs w:val="1"/>
                <w:i w:val="1"/>
                <w:iCs w:val="1"/>
                <w:color w:val="auto"/>
                <w:w w:val="93"/>
              </w:rPr>
              <w:t>(1)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i w:val="1"/>
                <w:iCs w:val="1"/>
                <w:color w:val="auto"/>
                <w:w w:val="94"/>
              </w:rPr>
              <w:t>(In millions)</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 of</w:t>
            </w:r>
          </w:p>
        </w:tc>
        <w:tc>
          <w:tcPr>
            <w:tcW w:w="0" w:type="dxa"/>
            <w:vAlign w:val="bottom"/>
          </w:tcPr>
          <w:p>
            <w:pPr>
              <w:spacing w:after="0"/>
              <w:rPr>
                <w:sz w:val="1"/>
                <w:szCs w:val="1"/>
                <w:color w:val="auto"/>
              </w:rPr>
            </w:pPr>
          </w:p>
        </w:tc>
      </w:tr>
      <w:tr>
        <w:trPr>
          <w:trHeight w:val="133"/>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11"/>
                <w:szCs w:val="11"/>
                <w:color w:val="auto"/>
              </w:rPr>
            </w:pPr>
          </w:p>
        </w:tc>
        <w:tc>
          <w:tcPr>
            <w:tcW w:w="1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EIN/Pension Plan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FIP/RP</w:t>
            </w: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Surcharge</w:t>
            </w:r>
          </w:p>
        </w:tc>
        <w:tc>
          <w:tcPr>
            <w:tcW w:w="1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Collective-Bargaining</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Status </w:t>
            </w:r>
            <w:r>
              <w:rPr>
                <w:rFonts w:ascii="Arial" w:cs="Arial" w:eastAsia="Arial" w:hAnsi="Arial"/>
                <w:sz w:val="8"/>
                <w:szCs w:val="8"/>
                <w:b w:val="1"/>
                <w:bCs w:val="1"/>
                <w:i w:val="1"/>
                <w:iCs w:val="1"/>
                <w:color w:val="auto"/>
                <w:w w:val="92"/>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Agreement </w:t>
            </w:r>
            <w:r>
              <w:rPr>
                <w:rFonts w:ascii="Arial" w:cs="Arial" w:eastAsia="Arial" w:hAnsi="Arial"/>
                <w:sz w:val="8"/>
                <w:szCs w:val="8"/>
                <w:b w:val="1"/>
                <w:bCs w:val="1"/>
                <w:i w:val="1"/>
                <w:iCs w:val="1"/>
                <w:color w:val="auto"/>
                <w:w w:val="94"/>
              </w:rPr>
              <w:t>(4)</w:t>
            </w:r>
          </w:p>
        </w:tc>
        <w:tc>
          <w:tcPr>
            <w:tcW w:w="0" w:type="dxa"/>
            <w:vAlign w:val="bottom"/>
          </w:tcPr>
          <w:p>
            <w:pPr>
              <w:spacing w:after="0"/>
              <w:rPr>
                <w:sz w:val="1"/>
                <w:szCs w:val="1"/>
                <w:color w:val="auto"/>
              </w:rPr>
            </w:pPr>
          </w:p>
        </w:tc>
      </w:tr>
      <w:tr>
        <w:trPr>
          <w:trHeight w:val="171"/>
        </w:trPr>
        <w:tc>
          <w:tcPr>
            <w:tcW w:w="2640" w:type="dxa"/>
            <w:vAlign w:val="bottom"/>
            <w:gridSpan w:val="2"/>
            <w:shd w:val="clear" w:color="auto" w:fill="CCEEFF"/>
          </w:tcPr>
          <w:p>
            <w:pPr>
              <w:ind w:left="40"/>
              <w:spacing w:after="0" w:line="171" w:lineRule="exact"/>
              <w:rPr>
                <w:sz w:val="20"/>
                <w:szCs w:val="20"/>
                <w:color w:val="auto"/>
              </w:rPr>
            </w:pPr>
            <w:r>
              <w:rPr>
                <w:rFonts w:ascii="Arial" w:cs="Arial" w:eastAsia="Arial" w:hAnsi="Arial"/>
                <w:sz w:val="16"/>
                <w:szCs w:val="16"/>
                <w:color w:val="auto"/>
              </w:rPr>
              <w:t>Southern Nevada Culinary and</w:t>
            </w:r>
          </w:p>
        </w:tc>
        <w:tc>
          <w:tcPr>
            <w:tcW w:w="14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7"/>
              </w:rPr>
              <w:t>88-6016617/001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20"/>
              <w:spacing w:after="0" w:line="171" w:lineRule="exact"/>
              <w:rPr>
                <w:sz w:val="20"/>
                <w:szCs w:val="20"/>
                <w:color w:val="auto"/>
              </w:rPr>
            </w:pPr>
            <w:r>
              <w:rPr>
                <w:rFonts w:ascii="Arial" w:cs="Arial" w:eastAsia="Arial" w:hAnsi="Arial"/>
                <w:sz w:val="16"/>
                <w:szCs w:val="16"/>
                <w:color w:val="auto"/>
                <w:w w:val="85"/>
              </w:rPr>
              <w:t>Green</w:t>
            </w:r>
          </w:p>
        </w:tc>
        <w:tc>
          <w:tcPr>
            <w:tcW w:w="6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5"/>
              </w:rPr>
              <w:t>Green</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120"/>
              <w:spacing w:after="0" w:line="171" w:lineRule="exact"/>
              <w:rPr>
                <w:sz w:val="20"/>
                <w:szCs w:val="20"/>
                <w:color w:val="auto"/>
              </w:rPr>
            </w:pPr>
            <w:r>
              <w:rPr>
                <w:rFonts w:ascii="Arial" w:cs="Arial" w:eastAsia="Arial" w:hAnsi="Arial"/>
                <w:sz w:val="16"/>
                <w:szCs w:val="16"/>
                <w:color w:val="auto"/>
                <w:w w:val="87"/>
              </w:rPr>
              <w:t>No</w:t>
            </w: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17</w:t>
            </w:r>
          </w:p>
        </w:tc>
        <w:tc>
          <w:tcPr>
            <w:tcW w:w="320" w:type="dxa"/>
            <w:vAlign w:val="bottom"/>
            <w:gridSpan w:val="3"/>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
              <w:spacing w:after="0" w:line="171" w:lineRule="exact"/>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23"/>
              <w:spacing w:after="0" w:line="171" w:lineRule="exact"/>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line="171" w:lineRule="exact"/>
              <w:rPr>
                <w:sz w:val="20"/>
                <w:szCs w:val="20"/>
                <w:color w:val="auto"/>
              </w:rPr>
            </w:pPr>
            <w:r>
              <w:rPr>
                <w:rFonts w:ascii="Arial" w:cs="Arial" w:eastAsia="Arial" w:hAnsi="Arial"/>
                <w:sz w:val="16"/>
                <w:szCs w:val="16"/>
                <w:color w:val="auto"/>
                <w:w w:val="87"/>
              </w:rPr>
              <w:t>No</w:t>
            </w:r>
          </w:p>
        </w:tc>
        <w:tc>
          <w:tcPr>
            <w:tcW w:w="160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0"/>
              </w:rPr>
              <w:t>May 31, 2023</w:t>
            </w:r>
          </w:p>
        </w:tc>
        <w:tc>
          <w:tcPr>
            <w:tcW w:w="0" w:type="dxa"/>
            <w:vAlign w:val="bottom"/>
          </w:tcPr>
          <w:p>
            <w:pPr>
              <w:spacing w:after="0"/>
              <w:rPr>
                <w:sz w:val="1"/>
                <w:szCs w:val="1"/>
                <w:color w:val="auto"/>
              </w:rPr>
            </w:pPr>
          </w:p>
        </w:tc>
      </w:tr>
      <w:tr>
        <w:trPr>
          <w:trHeight w:val="207"/>
        </w:trPr>
        <w:tc>
          <w:tcPr>
            <w:tcW w:w="2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xml:space="preserve">Bartenders Pension Plan </w:t>
            </w:r>
            <w:r>
              <w:rPr>
                <w:rFonts w:ascii="Arial" w:cs="Arial" w:eastAsia="Arial" w:hAnsi="Arial"/>
                <w:sz w:val="12"/>
                <w:szCs w:val="12"/>
                <w:i w:val="1"/>
                <w:iCs w:val="1"/>
                <w:color w:val="auto"/>
              </w:rPr>
              <w:t>(5)</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640" w:type="dxa"/>
            <w:vAlign w:val="bottom"/>
            <w:gridSpan w:val="2"/>
          </w:tcPr>
          <w:p>
            <w:pPr>
              <w:ind w:left="40"/>
              <w:spacing w:after="0" w:line="171" w:lineRule="exact"/>
              <w:rPr>
                <w:sz w:val="20"/>
                <w:szCs w:val="20"/>
                <w:color w:val="auto"/>
              </w:rPr>
            </w:pPr>
            <w:r>
              <w:rPr>
                <w:rFonts w:ascii="Arial" w:cs="Arial" w:eastAsia="Arial" w:hAnsi="Arial"/>
                <w:sz w:val="16"/>
                <w:szCs w:val="16"/>
                <w:color w:val="auto"/>
              </w:rPr>
              <w:t>Legacy Plan of the National</w:t>
            </w:r>
          </w:p>
        </w:tc>
        <w:tc>
          <w:tcPr>
            <w:tcW w:w="1480" w:type="dxa"/>
            <w:vAlign w:val="bottom"/>
          </w:tcPr>
          <w:p>
            <w:pPr>
              <w:jc w:val="center"/>
              <w:spacing w:after="0" w:line="171" w:lineRule="exact"/>
              <w:rPr>
                <w:sz w:val="20"/>
                <w:szCs w:val="20"/>
                <w:color w:val="auto"/>
              </w:rPr>
            </w:pPr>
            <w:r>
              <w:rPr>
                <w:rFonts w:ascii="Arial" w:cs="Arial" w:eastAsia="Arial" w:hAnsi="Arial"/>
                <w:sz w:val="16"/>
                <w:szCs w:val="16"/>
                <w:color w:val="auto"/>
                <w:w w:val="87"/>
              </w:rPr>
              <w:t>13-6130178/001</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line="171" w:lineRule="exact"/>
              <w:rPr>
                <w:sz w:val="20"/>
                <w:szCs w:val="20"/>
                <w:color w:val="auto"/>
              </w:rPr>
            </w:pPr>
            <w:r>
              <w:rPr>
                <w:rFonts w:ascii="Arial" w:cs="Arial" w:eastAsia="Arial" w:hAnsi="Arial"/>
                <w:sz w:val="16"/>
                <w:szCs w:val="16"/>
                <w:color w:val="auto"/>
                <w:w w:val="97"/>
              </w:rPr>
              <w:t>N/A</w:t>
            </w:r>
          </w:p>
        </w:tc>
        <w:tc>
          <w:tcPr>
            <w:tcW w:w="680" w:type="dxa"/>
            <w:vAlign w:val="bottom"/>
          </w:tcPr>
          <w:p>
            <w:pPr>
              <w:jc w:val="center"/>
              <w:spacing w:after="0" w:line="171" w:lineRule="exact"/>
              <w:rPr>
                <w:sz w:val="20"/>
                <w:szCs w:val="20"/>
                <w:color w:val="auto"/>
              </w:rPr>
            </w:pPr>
            <w:r>
              <w:rPr>
                <w:rFonts w:ascii="Arial" w:cs="Arial" w:eastAsia="Arial" w:hAnsi="Arial"/>
                <w:sz w:val="16"/>
                <w:szCs w:val="16"/>
                <w:color w:val="auto"/>
                <w:w w:val="81"/>
              </w:rPr>
              <w:t>Red</w:t>
            </w: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71" w:lineRule="exact"/>
              <w:rPr>
                <w:sz w:val="20"/>
                <w:szCs w:val="20"/>
                <w:color w:val="auto"/>
              </w:rPr>
            </w:pPr>
            <w:r>
              <w:rPr>
                <w:rFonts w:ascii="Arial" w:cs="Arial" w:eastAsia="Arial" w:hAnsi="Arial"/>
                <w:sz w:val="16"/>
                <w:szCs w:val="16"/>
                <w:color w:val="auto"/>
                <w:w w:val="97"/>
              </w:rPr>
              <w:t>N/A</w:t>
            </w:r>
          </w:p>
        </w:tc>
        <w:tc>
          <w:tcPr>
            <w:tcW w:w="120" w:type="dxa"/>
            <w:vAlign w:val="bottom"/>
          </w:tcPr>
          <w:p>
            <w:pPr>
              <w:spacing w:after="0"/>
              <w:rPr>
                <w:sz w:val="14"/>
                <w:szCs w:val="14"/>
                <w:color w:val="auto"/>
              </w:rPr>
            </w:pPr>
          </w:p>
        </w:tc>
        <w:tc>
          <w:tcPr>
            <w:tcW w:w="3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23"/>
              <w:spacing w:after="0" w:line="171" w:lineRule="exact"/>
              <w:rPr>
                <w:sz w:val="20"/>
                <w:szCs w:val="20"/>
                <w:color w:val="auto"/>
              </w:rPr>
            </w:pPr>
            <w:r>
              <w:rPr>
                <w:rFonts w:ascii="Arial" w:cs="Arial" w:eastAsia="Arial" w:hAnsi="Arial"/>
                <w:sz w:val="16"/>
                <w:szCs w:val="16"/>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23"/>
              <w:spacing w:after="0" w:line="171"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97"/>
              </w:rPr>
              <w:t>N/A</w:t>
            </w:r>
          </w:p>
        </w:tc>
        <w:tc>
          <w:tcPr>
            <w:tcW w:w="1600" w:type="dxa"/>
            <w:vAlign w:val="bottom"/>
          </w:tcPr>
          <w:p>
            <w:pPr>
              <w:jc w:val="center"/>
              <w:spacing w:after="0" w:line="17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640" w:type="dxa"/>
            <w:vAlign w:val="bottom"/>
            <w:gridSpan w:val="2"/>
          </w:tcPr>
          <w:p>
            <w:pPr>
              <w:ind w:left="200"/>
              <w:spacing w:after="0"/>
              <w:rPr>
                <w:sz w:val="20"/>
                <w:szCs w:val="20"/>
                <w:color w:val="auto"/>
              </w:rPr>
            </w:pPr>
            <w:r>
              <w:rPr>
                <w:rFonts w:ascii="Arial" w:cs="Arial" w:eastAsia="Arial" w:hAnsi="Arial"/>
                <w:sz w:val="16"/>
                <w:szCs w:val="16"/>
                <w:color w:val="auto"/>
              </w:rPr>
              <w:t xml:space="preserve">Retirement Fund </w:t>
            </w:r>
            <w:r>
              <w:rPr>
                <w:rFonts w:ascii="Arial" w:cs="Arial" w:eastAsia="Arial" w:hAnsi="Arial"/>
                <w:sz w:val="12"/>
                <w:szCs w:val="12"/>
                <w:i w:val="1"/>
                <w:iCs w:val="1"/>
                <w:color w:val="auto"/>
              </w:rPr>
              <w:t>(5)(6)</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40"/>
              <w:spacing w:after="0" w:line="175" w:lineRule="exact"/>
              <w:rPr>
                <w:sz w:val="20"/>
                <w:szCs w:val="20"/>
                <w:color w:val="auto"/>
              </w:rPr>
            </w:pPr>
            <w:r>
              <w:rPr>
                <w:rFonts w:ascii="Arial" w:cs="Arial" w:eastAsia="Arial" w:hAnsi="Arial"/>
                <w:sz w:val="16"/>
                <w:szCs w:val="16"/>
                <w:color w:val="auto"/>
              </w:rPr>
              <w:t>Legacy Plan of the UNITE HERE</w:t>
            </w:r>
          </w:p>
        </w:tc>
        <w:tc>
          <w:tcPr>
            <w:tcW w:w="14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7"/>
              </w:rPr>
              <w:t>82-0994119/001</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20"/>
              <w:spacing w:after="0" w:line="175" w:lineRule="exact"/>
              <w:rPr>
                <w:sz w:val="20"/>
                <w:szCs w:val="20"/>
                <w:color w:val="auto"/>
              </w:rPr>
            </w:pPr>
            <w:r>
              <w:rPr>
                <w:rFonts w:ascii="Arial" w:cs="Arial" w:eastAsia="Arial" w:hAnsi="Arial"/>
                <w:sz w:val="16"/>
                <w:szCs w:val="16"/>
                <w:color w:val="auto"/>
                <w:w w:val="88"/>
              </w:rPr>
              <w:t>Red</w:t>
            </w: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20"/>
              <w:spacing w:after="0" w:line="175" w:lineRule="exact"/>
              <w:rPr>
                <w:sz w:val="20"/>
                <w:szCs w:val="20"/>
                <w:color w:val="auto"/>
              </w:rPr>
            </w:pPr>
            <w:r>
              <w:rPr>
                <w:rFonts w:ascii="Arial" w:cs="Arial" w:eastAsia="Arial" w:hAnsi="Arial"/>
                <w:sz w:val="16"/>
                <w:szCs w:val="16"/>
                <w:color w:val="auto"/>
                <w:w w:val="79"/>
              </w:rPr>
              <w:t>Yes</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5" w:lineRule="exact"/>
              <w:rPr>
                <w:sz w:val="20"/>
                <w:szCs w:val="20"/>
                <w:color w:val="auto"/>
              </w:rPr>
            </w:pPr>
            <w:r>
              <w:rPr>
                <w:rFonts w:ascii="Arial" w:cs="Arial" w:eastAsia="Arial" w:hAnsi="Arial"/>
                <w:sz w:val="16"/>
                <w:szCs w:val="16"/>
                <w:color w:val="auto"/>
                <w:w w:val="87"/>
              </w:rPr>
              <w:t>No</w:t>
            </w:r>
          </w:p>
        </w:tc>
        <w:tc>
          <w:tcPr>
            <w:tcW w:w="16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7"/>
              </w:rPr>
              <w:t>February 29, 2020</w:t>
            </w:r>
          </w:p>
        </w:tc>
        <w:tc>
          <w:tcPr>
            <w:tcW w:w="0" w:type="dxa"/>
            <w:vAlign w:val="bottom"/>
          </w:tcPr>
          <w:p>
            <w:pPr>
              <w:spacing w:after="0"/>
              <w:rPr>
                <w:sz w:val="1"/>
                <w:szCs w:val="1"/>
                <w:color w:val="auto"/>
              </w:rPr>
            </w:pPr>
          </w:p>
        </w:tc>
      </w:tr>
      <w:tr>
        <w:trPr>
          <w:trHeight w:val="207"/>
        </w:trPr>
        <w:tc>
          <w:tcPr>
            <w:tcW w:w="2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xml:space="preserve">Retirement Fund </w:t>
            </w:r>
            <w:r>
              <w:rPr>
                <w:rFonts w:ascii="Arial" w:cs="Arial" w:eastAsia="Arial" w:hAnsi="Arial"/>
                <w:sz w:val="12"/>
                <w:szCs w:val="12"/>
                <w:i w:val="1"/>
                <w:iCs w:val="1"/>
                <w:color w:val="auto"/>
              </w:rPr>
              <w:t>(6)</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640" w:type="dxa"/>
            <w:vAlign w:val="bottom"/>
            <w:gridSpan w:val="2"/>
          </w:tcPr>
          <w:p>
            <w:pPr>
              <w:ind w:left="40"/>
              <w:spacing w:after="0" w:line="171" w:lineRule="exact"/>
              <w:rPr>
                <w:sz w:val="20"/>
                <w:szCs w:val="20"/>
                <w:color w:val="auto"/>
              </w:rPr>
            </w:pPr>
            <w:r>
              <w:rPr>
                <w:rFonts w:ascii="Arial" w:cs="Arial" w:eastAsia="Arial" w:hAnsi="Arial"/>
                <w:sz w:val="16"/>
                <w:szCs w:val="16"/>
                <w:color w:val="auto"/>
              </w:rPr>
              <w:t>Central Pension Fund of the IUOE &amp;</w:t>
            </w:r>
          </w:p>
        </w:tc>
        <w:tc>
          <w:tcPr>
            <w:tcW w:w="1480" w:type="dxa"/>
            <w:vAlign w:val="bottom"/>
          </w:tcPr>
          <w:p>
            <w:pPr>
              <w:jc w:val="center"/>
              <w:spacing w:after="0" w:line="171" w:lineRule="exact"/>
              <w:rPr>
                <w:sz w:val="20"/>
                <w:szCs w:val="20"/>
                <w:color w:val="auto"/>
              </w:rPr>
            </w:pPr>
            <w:r>
              <w:rPr>
                <w:rFonts w:ascii="Arial" w:cs="Arial" w:eastAsia="Arial" w:hAnsi="Arial"/>
                <w:sz w:val="16"/>
                <w:szCs w:val="16"/>
                <w:color w:val="auto"/>
                <w:w w:val="87"/>
              </w:rPr>
              <w:t>36-6052390/001</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line="171" w:lineRule="exact"/>
              <w:rPr>
                <w:sz w:val="20"/>
                <w:szCs w:val="20"/>
                <w:color w:val="auto"/>
              </w:rPr>
            </w:pPr>
            <w:r>
              <w:rPr>
                <w:rFonts w:ascii="Arial" w:cs="Arial" w:eastAsia="Arial" w:hAnsi="Arial"/>
                <w:sz w:val="16"/>
                <w:szCs w:val="16"/>
                <w:color w:val="auto"/>
                <w:w w:val="85"/>
              </w:rPr>
              <w:t>Green</w:t>
            </w:r>
          </w:p>
        </w:tc>
        <w:tc>
          <w:tcPr>
            <w:tcW w:w="680" w:type="dxa"/>
            <w:vAlign w:val="bottom"/>
          </w:tcPr>
          <w:p>
            <w:pPr>
              <w:jc w:val="center"/>
              <w:spacing w:after="0" w:line="171" w:lineRule="exact"/>
              <w:rPr>
                <w:sz w:val="20"/>
                <w:szCs w:val="20"/>
                <w:color w:val="auto"/>
              </w:rPr>
            </w:pPr>
            <w:r>
              <w:rPr>
                <w:rFonts w:ascii="Arial" w:cs="Arial" w:eastAsia="Arial" w:hAnsi="Arial"/>
                <w:sz w:val="16"/>
                <w:szCs w:val="16"/>
                <w:color w:val="auto"/>
                <w:w w:val="85"/>
              </w:rPr>
              <w:t>Green</w:t>
            </w: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71" w:lineRule="exact"/>
              <w:rPr>
                <w:sz w:val="20"/>
                <w:szCs w:val="20"/>
                <w:color w:val="auto"/>
              </w:rPr>
            </w:pPr>
            <w:r>
              <w:rPr>
                <w:rFonts w:ascii="Arial" w:cs="Arial" w:eastAsia="Arial" w:hAnsi="Arial"/>
                <w:sz w:val="16"/>
                <w:szCs w:val="16"/>
                <w:color w:val="auto"/>
                <w:w w:val="87"/>
              </w:rPr>
              <w:t>No</w:t>
            </w:r>
          </w:p>
        </w:tc>
        <w:tc>
          <w:tcPr>
            <w:tcW w:w="120" w:type="dxa"/>
            <w:vAlign w:val="bottom"/>
          </w:tcPr>
          <w:p>
            <w:pPr>
              <w:spacing w:after="0"/>
              <w:rPr>
                <w:sz w:val="14"/>
                <w:szCs w:val="14"/>
                <w:color w:val="auto"/>
              </w:rPr>
            </w:pPr>
          </w:p>
        </w:tc>
        <w:tc>
          <w:tcPr>
            <w:tcW w:w="360" w:type="dxa"/>
            <w:vAlign w:val="bottom"/>
          </w:tcPr>
          <w:p>
            <w:pPr>
              <w:jc w:val="right"/>
              <w:spacing w:after="0" w:line="171" w:lineRule="exact"/>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23"/>
              <w:spacing w:after="0" w:line="171"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23"/>
              <w:spacing w:after="0" w:line="171"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00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87"/>
              </w:rPr>
              <w:t>No</w:t>
            </w:r>
          </w:p>
        </w:tc>
        <w:tc>
          <w:tcPr>
            <w:tcW w:w="1600" w:type="dxa"/>
            <w:vAlign w:val="bottom"/>
          </w:tcPr>
          <w:p>
            <w:pPr>
              <w:jc w:val="center"/>
              <w:spacing w:after="0" w:line="171" w:lineRule="exact"/>
              <w:rPr>
                <w:sz w:val="20"/>
                <w:szCs w:val="20"/>
                <w:color w:val="auto"/>
              </w:rPr>
            </w:pPr>
            <w:r>
              <w:rPr>
                <w:rFonts w:ascii="Arial" w:cs="Arial" w:eastAsia="Arial" w:hAnsi="Arial"/>
                <w:sz w:val="16"/>
                <w:szCs w:val="16"/>
                <w:color w:val="auto"/>
                <w:w w:val="89"/>
              </w:rPr>
              <w:t>March 31, 2021</w:t>
            </w:r>
          </w:p>
        </w:tc>
        <w:tc>
          <w:tcPr>
            <w:tcW w:w="0" w:type="dxa"/>
            <w:vAlign w:val="bottom"/>
          </w:tcPr>
          <w:p>
            <w:pPr>
              <w:spacing w:after="0"/>
              <w:rPr>
                <w:sz w:val="1"/>
                <w:szCs w:val="1"/>
                <w:color w:val="auto"/>
              </w:rPr>
            </w:pPr>
          </w:p>
        </w:tc>
      </w:tr>
      <w:tr>
        <w:trPr>
          <w:trHeight w:val="203"/>
        </w:trPr>
        <w:tc>
          <w:tcPr>
            <w:tcW w:w="2640" w:type="dxa"/>
            <w:vAlign w:val="bottom"/>
            <w:gridSpan w:val="2"/>
          </w:tcPr>
          <w:p>
            <w:pPr>
              <w:ind w:left="200"/>
              <w:spacing w:after="0"/>
              <w:rPr>
                <w:sz w:val="20"/>
                <w:szCs w:val="20"/>
                <w:color w:val="auto"/>
              </w:rPr>
            </w:pPr>
            <w:r>
              <w:rPr>
                <w:rFonts w:ascii="Arial" w:cs="Arial" w:eastAsia="Arial" w:hAnsi="Arial"/>
                <w:sz w:val="16"/>
                <w:szCs w:val="16"/>
                <w:color w:val="auto"/>
              </w:rPr>
              <w:t xml:space="preserve">Participating Employers </w:t>
            </w:r>
            <w:r>
              <w:rPr>
                <w:rFonts w:ascii="Arial" w:cs="Arial" w:eastAsia="Arial" w:hAnsi="Arial"/>
                <w:sz w:val="12"/>
                <w:szCs w:val="12"/>
                <w:i w:val="1"/>
                <w:iCs w:val="1"/>
                <w:color w:val="auto"/>
              </w:rPr>
              <w:t>(7)</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40"/>
              <w:spacing w:after="0" w:line="175" w:lineRule="exact"/>
              <w:rPr>
                <w:sz w:val="20"/>
                <w:szCs w:val="20"/>
                <w:color w:val="auto"/>
              </w:rPr>
            </w:pPr>
            <w:r>
              <w:rPr>
                <w:rFonts w:ascii="Arial" w:cs="Arial" w:eastAsia="Arial" w:hAnsi="Arial"/>
                <w:sz w:val="16"/>
                <w:szCs w:val="16"/>
                <w:color w:val="auto"/>
              </w:rPr>
              <w:t>Local 68 Engineers Union Pension</w:t>
            </w:r>
          </w:p>
        </w:tc>
        <w:tc>
          <w:tcPr>
            <w:tcW w:w="14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7"/>
              </w:rPr>
              <w:t>51-0176618/001</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line="175" w:lineRule="exact"/>
              <w:rPr>
                <w:sz w:val="20"/>
                <w:szCs w:val="20"/>
                <w:color w:val="auto"/>
              </w:rPr>
            </w:pPr>
            <w:r>
              <w:rPr>
                <w:rFonts w:ascii="Arial" w:cs="Arial" w:eastAsia="Arial" w:hAnsi="Arial"/>
                <w:sz w:val="16"/>
                <w:szCs w:val="16"/>
                <w:color w:val="auto"/>
                <w:w w:val="93"/>
              </w:rPr>
              <w:t>Yellow</w:t>
            </w: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Yellow</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20"/>
              <w:spacing w:after="0" w:line="175" w:lineRule="exact"/>
              <w:rPr>
                <w:sz w:val="20"/>
                <w:szCs w:val="20"/>
                <w:color w:val="auto"/>
              </w:rPr>
            </w:pPr>
            <w:r>
              <w:rPr>
                <w:rFonts w:ascii="Arial" w:cs="Arial" w:eastAsia="Arial" w:hAnsi="Arial"/>
                <w:sz w:val="16"/>
                <w:szCs w:val="16"/>
                <w:color w:val="auto"/>
                <w:w w:val="87"/>
              </w:rPr>
              <w:t>No</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
              <w:spacing w:after="0" w:line="175" w:lineRule="exact"/>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5" w:lineRule="exact"/>
              <w:rPr>
                <w:sz w:val="20"/>
                <w:szCs w:val="20"/>
                <w:color w:val="auto"/>
              </w:rPr>
            </w:pPr>
            <w:r>
              <w:rPr>
                <w:rFonts w:ascii="Arial" w:cs="Arial" w:eastAsia="Arial" w:hAnsi="Arial"/>
                <w:sz w:val="16"/>
                <w:szCs w:val="16"/>
                <w:color w:val="auto"/>
                <w:w w:val="87"/>
              </w:rPr>
              <w:t>No</w:t>
            </w:r>
          </w:p>
        </w:tc>
        <w:tc>
          <w:tcPr>
            <w:tcW w:w="16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April 30, 2020</w:t>
            </w:r>
          </w:p>
        </w:tc>
        <w:tc>
          <w:tcPr>
            <w:tcW w:w="0" w:type="dxa"/>
            <w:vAlign w:val="bottom"/>
          </w:tcPr>
          <w:p>
            <w:pPr>
              <w:spacing w:after="0"/>
              <w:rPr>
                <w:sz w:val="1"/>
                <w:szCs w:val="1"/>
                <w:color w:val="auto"/>
              </w:rPr>
            </w:pPr>
          </w:p>
        </w:tc>
      </w:tr>
      <w:tr>
        <w:trPr>
          <w:trHeight w:val="207"/>
        </w:trPr>
        <w:tc>
          <w:tcPr>
            <w:tcW w:w="2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xml:space="preserve">Plan </w:t>
            </w:r>
            <w:r>
              <w:rPr>
                <w:rFonts w:ascii="Arial" w:cs="Arial" w:eastAsia="Arial" w:hAnsi="Arial"/>
                <w:sz w:val="12"/>
                <w:szCs w:val="12"/>
                <w:i w:val="1"/>
                <w:iCs w:val="1"/>
                <w:color w:val="auto"/>
              </w:rPr>
              <w:t>(5)(8)(9)</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NJ Carpenters Pension Fund</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22-6174423/001</w:t>
            </w:r>
          </w:p>
        </w:tc>
        <w:tc>
          <w:tcPr>
            <w:tcW w:w="1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Yellow</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Yellow</w:t>
            </w: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79"/>
              </w:rPr>
              <w:t>Yes</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No</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April 30, 2020</w:t>
            </w: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640" w:type="dxa"/>
            <w:vAlign w:val="bottom"/>
            <w:gridSpan w:val="2"/>
            <w:shd w:val="clear" w:color="auto" w:fill="CCEEFF"/>
          </w:tcPr>
          <w:p>
            <w:pPr>
              <w:ind w:left="40"/>
              <w:spacing w:after="0" w:line="171" w:lineRule="exact"/>
              <w:rPr>
                <w:sz w:val="20"/>
                <w:szCs w:val="20"/>
                <w:color w:val="auto"/>
              </w:rPr>
            </w:pPr>
            <w:r>
              <w:rPr>
                <w:rFonts w:ascii="Arial" w:cs="Arial" w:eastAsia="Arial" w:hAnsi="Arial"/>
                <w:sz w:val="16"/>
                <w:szCs w:val="16"/>
                <w:color w:val="auto"/>
              </w:rPr>
              <w:t>Painters IUPAT</w:t>
            </w:r>
          </w:p>
        </w:tc>
        <w:tc>
          <w:tcPr>
            <w:tcW w:w="14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7"/>
              </w:rPr>
              <w:t>52-6073909/001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00"/>
              <w:spacing w:after="0" w:line="171" w:lineRule="exact"/>
              <w:rPr>
                <w:sz w:val="20"/>
                <w:szCs w:val="20"/>
                <w:color w:val="auto"/>
              </w:rPr>
            </w:pPr>
            <w:r>
              <w:rPr>
                <w:rFonts w:ascii="Arial" w:cs="Arial" w:eastAsia="Arial" w:hAnsi="Arial"/>
                <w:sz w:val="16"/>
                <w:szCs w:val="16"/>
                <w:color w:val="auto"/>
                <w:w w:val="93"/>
              </w:rPr>
              <w:t>Yellow</w:t>
            </w:r>
          </w:p>
        </w:tc>
        <w:tc>
          <w:tcPr>
            <w:tcW w:w="6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3"/>
              </w:rPr>
              <w:t>Yellow</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120"/>
              <w:spacing w:after="0" w:line="171" w:lineRule="exact"/>
              <w:rPr>
                <w:sz w:val="20"/>
                <w:szCs w:val="20"/>
                <w:color w:val="auto"/>
              </w:rPr>
            </w:pPr>
            <w:r>
              <w:rPr>
                <w:rFonts w:ascii="Arial" w:cs="Arial" w:eastAsia="Arial" w:hAnsi="Arial"/>
                <w:sz w:val="16"/>
                <w:szCs w:val="16"/>
                <w:color w:val="auto"/>
                <w:w w:val="79"/>
              </w:rPr>
              <w:t>Yes</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3"/>
              <w:spacing w:after="0" w:line="171" w:lineRule="exact"/>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3"/>
              <w:spacing w:after="0" w:line="171" w:lineRule="exact"/>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line="171" w:lineRule="exact"/>
              <w:rPr>
                <w:sz w:val="20"/>
                <w:szCs w:val="20"/>
                <w:color w:val="auto"/>
              </w:rPr>
            </w:pPr>
            <w:r>
              <w:rPr>
                <w:rFonts w:ascii="Arial" w:cs="Arial" w:eastAsia="Arial" w:hAnsi="Arial"/>
                <w:sz w:val="16"/>
                <w:szCs w:val="16"/>
                <w:color w:val="auto"/>
                <w:w w:val="87"/>
              </w:rPr>
              <w:t>No</w:t>
            </w:r>
          </w:p>
        </w:tc>
        <w:tc>
          <w:tcPr>
            <w:tcW w:w="160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7"/>
              </w:rPr>
              <w:t>Various up to June 30,</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0" w:type="dxa"/>
            <w:vAlign w:val="bottom"/>
          </w:tcPr>
          <w:p>
            <w:pPr>
              <w:spacing w:after="0"/>
              <w:rPr>
                <w:sz w:val="1"/>
                <w:szCs w:val="1"/>
                <w:color w:val="auto"/>
              </w:rPr>
            </w:pPr>
          </w:p>
        </w:tc>
      </w:tr>
      <w:tr>
        <w:trPr>
          <w:trHeight w:val="208"/>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Other Funds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23"/>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Contributions</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340" w:right="20" w:hanging="332"/>
        <w:spacing w:after="0" w:line="266" w:lineRule="auto"/>
        <w:tabs>
          <w:tab w:leader="none" w:pos="340" w:val="left"/>
        </w:tabs>
        <w:numPr>
          <w:ilvl w:val="0"/>
          <w:numId w:val="40"/>
        </w:numPr>
        <w:rPr>
          <w:rFonts w:ascii="Arial" w:cs="Arial" w:eastAsia="Arial" w:hAnsi="Arial"/>
          <w:sz w:val="8"/>
          <w:szCs w:val="8"/>
          <w:i w:val="1"/>
          <w:iCs w:val="1"/>
          <w:color w:val="auto"/>
        </w:rPr>
      </w:pPr>
      <w:r>
        <w:rPr>
          <w:rFonts w:ascii="Arial" w:cs="Arial" w:eastAsia="Arial" w:hAnsi="Arial"/>
          <w:sz w:val="13"/>
          <w:szCs w:val="13"/>
          <w:i w:val="1"/>
          <w:iCs w:val="1"/>
          <w:color w:val="auto"/>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spacing w:after="0" w:line="1" w:lineRule="exact"/>
        <w:rPr>
          <w:rFonts w:ascii="Arial" w:cs="Arial" w:eastAsia="Arial" w:hAnsi="Arial"/>
          <w:sz w:val="8"/>
          <w:szCs w:val="8"/>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See Note 15.</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Indicates plans for which a financial improvement plan (“FIP”) or a rehabilitation plan (“RP”) is either pending or has been implemented.</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The terms of the current agreement continue indefinitely until either party provides appropriate notice of intent to terminate the contract.</w:t>
      </w:r>
    </w:p>
    <w:p>
      <w:pPr>
        <w:spacing w:after="0" w:line="1" w:lineRule="exact"/>
        <w:rPr>
          <w:rFonts w:ascii="Arial" w:cs="Arial" w:eastAsia="Arial" w:hAnsi="Arial"/>
          <w:sz w:val="9"/>
          <w:szCs w:val="9"/>
          <w:i w:val="1"/>
          <w:iCs w:val="1"/>
          <w:color w:val="auto"/>
        </w:rPr>
      </w:pPr>
    </w:p>
    <w:p>
      <w:pPr>
        <w:ind w:left="340" w:hanging="332"/>
        <w:spacing w:after="0" w:line="241" w:lineRule="auto"/>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Employer provided more than 5% of the total contributions for the plan years ended 2017 and 2016. As of the date the financial statements were issued, Forms 5500 were not available for the 2018 plan year.</w:t>
      </w:r>
    </w:p>
    <w:p>
      <w:pPr>
        <w:jc w:val="both"/>
        <w:ind w:left="340" w:hanging="332"/>
        <w:spacing w:after="0" w:line="241" w:lineRule="auto"/>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Effective January 1, 2018, the Legacy Plan of the National Retirement Fund (“NRF”) spun-off a portion of the plan into the newly created Legacy Plan of the UNITE HERE Retirement Fund (“HERE Plan”). CEC contributes to the HERE Plan and is expected to provide more than 5% of the total contributions for the plan year ended 2018, but the Form 5500 is not yet available. CEC no longer contributes to the NRF.</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Plan years begin February 1.</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Plan years begin July 1.</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0"/>
        </w:numPr>
        <w:rPr>
          <w:rFonts w:ascii="Arial" w:cs="Arial" w:eastAsia="Arial" w:hAnsi="Arial"/>
          <w:sz w:val="9"/>
          <w:szCs w:val="9"/>
          <w:i w:val="1"/>
          <w:iCs w:val="1"/>
          <w:color w:val="auto"/>
        </w:rPr>
      </w:pPr>
      <w:r>
        <w:rPr>
          <w:rFonts w:ascii="Arial" w:cs="Arial" w:eastAsia="Arial" w:hAnsi="Arial"/>
          <w:sz w:val="14"/>
          <w:szCs w:val="14"/>
          <w:i w:val="1"/>
          <w:iCs w:val="1"/>
          <w:color w:val="auto"/>
        </w:rPr>
        <w:t>The Plan has yet to provide an FIP. FIP status is not considered pending or implemented.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 Income Taxes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December 22, 2017, upon CRC electing to be treated as a corporation for federal and state income tax purposes, CRC is included in the consolidated federal tax return of Caesars, but files separate New Jersey and Louisiana tax returns. Prior to December 20, 2017, Caesars Growth Properties Holdings, LLC (“CGPH”) was included in the federal and state tax return filings for Caesars Growth Partners, LLC (“CGP”) which filed separate federal and state tax returns as a partnership. From December 20 through December 22, 2017, CGPH was included in the consolidated federal tax return for Caesars and the separate New Jersey and Louisiana tax returns for CGP which elected to be treated as a corporation effective December 20, 2017. Prior to December 22, 2017, Caesars Entertainment Resort Properties, LLC (“CERP”) was included in the consolidated federal tax return for Caesars and the separate New Jersey tax return filing for CEC.</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our year ended December 31, 2017, including, but not limited to, reducing the U.S. federal corporate tax rate and bonus depreciation that will allow for full expensing of qualified property.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Securities Exchange Commission staff issued Staff Accounting Bulletin No. 118 (“SAB 118”), which provides guidance for the accounting of the effects of the Tax Act. SAB 118 provides a measurement period that should not be extended past a year from the enactment date for companies to complete the accounting of the Tax Act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Companies that do not complete the accounting under ASC 740 for the tax effects of the Tax Act, must record a provisional estimate of the tax effects of the Tax Act. If a provisional estimate cannot be determined, a company should continue to apply ASC 740 based on the tax laws in effect immediately before the enactment of the Tax Act.</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2018, the Company has completed the accounting for the tax effects of the Tax Act. During the year ended December 31, 2017, the Company made a reasonable estimate of the effects on the existing deferred tax balances and accrued a provisional income tax benefit of approximately $218 million, which was recorded in the period ended December 31, 2017. The Company revised its estimate of the effects on the existing deferred tax balances as of December 31, 2017, and accrued an additional provisional income tax benefit of $33 million. The total amount of the revised estimated income tax benefit is (i) $209 million related to the net deferred tax benefit of the corporate rate reduction and (ii) $42 million related to the net deferred tax benefit of state deferred tax assets, which are now realizable due to the changing rules related to interest expense disallowance for those states which conform to the Tax Act.</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and tax footnotes were prepared under the pooling of interest to combine the historical operations of CERP and CGPH. Prior to the merger of CGPH and CERP forming CRC in 2017, CGPH was a disregarded entity owned by a partnership which was taxed as a flow-through entity under U.S. tax laws. As such, no taxes were accrued for its activities and income/losses would be distributed to its shareholders.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on the income tax provision and deferred tax assets and liabilities of a change in tax rates is recognized in income in the period that includes the enactment date. We have provided a valuation allowance on certain state deferred tax assets which were not deemed realizable based upon estimates of future taxable income.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unrecognized tax benefits within Deferred credits and other liabilities on our Balance Sheets, separate from related income tax payable, which is also reported within Accrued expenses and other current liabilities or Deferred income taxes. Reserve amounts relate to any potential income tax liabilities resulting from uncertain tax positions, as well as potential interest or penalties associated with those liabilities.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Effective January 1, 2018, we adopted ASU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provides amended guidance regarding intra-entity transfers of assets other than inventory and requires the recognition of any related income tax consequences when such transfers occur.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under regular and recurring audit by the Internal Revenue Service (“IRS”) and various state taxing authorities on open tax positions, and it is possible that the amount of the liability for unrecognized tax benefits could change during the next 12 months.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Income/(Loss) Before Income Taxes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gridSpan w:val="5"/>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1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6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Income/(loss) before income taxes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5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Benefit/(Provision)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gridSpan w:val="5"/>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1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9"/>
                <w:szCs w:val="19"/>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6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140" w:type="dxa"/>
            <w:vAlign w:val="bottom"/>
            <w:gridSpan w:val="2"/>
          </w:tcPr>
          <w:p>
            <w:pPr>
              <w:ind w:left="160"/>
              <w:spacing w:after="0"/>
              <w:rPr>
                <w:sz w:val="20"/>
                <w:szCs w:val="20"/>
                <w:color w:val="auto"/>
              </w:rPr>
            </w:pPr>
            <w:r>
              <w:rPr>
                <w:rFonts w:ascii="Arial" w:cs="Arial" w:eastAsia="Arial" w:hAnsi="Arial"/>
                <w:sz w:val="16"/>
                <w:szCs w:val="16"/>
                <w:color w:val="auto"/>
              </w:rPr>
              <w:t>Federal</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(97)</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44"/>
        </w:trPr>
        <w:tc>
          <w:tcPr>
            <w:tcW w:w="6180" w:type="dxa"/>
            <w:vAlign w:val="bottom"/>
            <w:gridSpan w:val="3"/>
          </w:tcPr>
          <w:p>
            <w:pPr>
              <w:ind w:left="40"/>
              <w:spacing w:after="0"/>
              <w:rPr>
                <w:sz w:val="20"/>
                <w:szCs w:val="20"/>
                <w:color w:val="auto"/>
              </w:rPr>
            </w:pPr>
            <w:r>
              <w:rPr>
                <w:rFonts w:ascii="Arial" w:cs="Arial" w:eastAsia="Arial" w:hAnsi="Arial"/>
                <w:sz w:val="16"/>
                <w:szCs w:val="16"/>
                <w:color w:val="auto"/>
              </w:rPr>
              <w:t>Income tax benefit/(provision)</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of Income Tax Benefit/(Provision)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Years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benefit/(provision) applicable to:</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6"/>
                <w:szCs w:val="16"/>
                <w:color w:val="auto"/>
              </w:rPr>
              <w:t>Income/(loss) before income taxes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Income Tax Rate Reconciliation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40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668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33"/>
        </w:trPr>
        <w:tc>
          <w:tcPr>
            <w:tcW w:w="6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Statutory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Increases/(decreases) in tax resulting from:</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State taxes, net of federal tax benefit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Nondeductible expenses</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(0.5)</w:t>
            </w:r>
          </w:p>
        </w:tc>
      </w:tr>
      <w:tr>
        <w:trPr>
          <w:trHeight w:val="33"/>
        </w:trPr>
        <w:tc>
          <w:tcPr>
            <w:tcW w:w="6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Federal tax credits</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Change in valuation allowance</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6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Reserve for uncertain tax positions</w:t>
            </w: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Change in federal tax law</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6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Change in tax status</w:t>
            </w: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Nontaxable LLC income/loss</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6.4</w:t>
            </w:r>
          </w:p>
        </w:tc>
      </w:tr>
      <w:tr>
        <w:trPr>
          <w:trHeight w:val="33"/>
        </w:trPr>
        <w:tc>
          <w:tcPr>
            <w:tcW w:w="6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Nondeductible acquisition costs</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33"/>
        </w:trPr>
        <w:tc>
          <w:tcPr>
            <w:tcW w:w="6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110.6 %</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Temporary Differences Resulting in Deferred Tax Assets and Liabilities</w:t>
      </w:r>
    </w:p>
    <w:p>
      <w:pPr>
        <w:spacing w:after="0" w:line="104"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37465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Compensation programs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40" w:type="dxa"/>
            <w:vAlign w:val="bottom"/>
          </w:tcPr>
          <w:p>
            <w:pPr>
              <w:spacing w:after="0"/>
              <w:rPr>
                <w:sz w:val="20"/>
                <w:szCs w:val="20"/>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Casino Reinvestment Development Authority investment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40" w:type="dxa"/>
            <w:vAlign w:val="bottom"/>
          </w:tcPr>
          <w:p>
            <w:pPr>
              <w:spacing w:after="0"/>
              <w:rPr>
                <w:sz w:val="20"/>
                <w:szCs w:val="20"/>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VICI call right</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Disallowed 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8000" w:type="dxa"/>
            <w:vAlign w:val="bottom"/>
            <w:gridSpan w:val="3"/>
          </w:tcPr>
          <w:p>
            <w:pPr>
              <w:ind w:left="40"/>
              <w:spacing w:after="0"/>
              <w:rPr>
                <w:sz w:val="20"/>
                <w:szCs w:val="20"/>
                <w:color w:val="auto"/>
              </w:rPr>
            </w:pPr>
            <w:r>
              <w:rPr>
                <w:rFonts w:ascii="Arial" w:cs="Arial" w:eastAsia="Arial" w:hAnsi="Arial"/>
                <w:sz w:val="16"/>
                <w:szCs w:val="16"/>
                <w:color w:val="auto"/>
              </w:rPr>
              <w:t>Valuation allowance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1"/>
        </w:trPr>
        <w:tc>
          <w:tcPr>
            <w:tcW w:w="8000" w:type="dxa"/>
            <w:vAlign w:val="bottom"/>
            <w:gridSpan w:val="3"/>
          </w:tcPr>
          <w:p>
            <w:pPr>
              <w:ind w:left="40"/>
              <w:spacing w:after="0"/>
              <w:rPr>
                <w:sz w:val="20"/>
                <w:szCs w:val="20"/>
                <w:color w:val="auto"/>
              </w:rPr>
            </w:pPr>
            <w:r>
              <w:rPr>
                <w:rFonts w:ascii="Arial" w:cs="Arial" w:eastAsia="Arial" w:hAnsi="Arial"/>
                <w:sz w:val="16"/>
                <w:szCs w:val="16"/>
                <w:color w:val="auto"/>
              </w:rPr>
              <w:t>Deferred tax liabilities: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Depreciation and other property related items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r>
      <w:tr>
        <w:trPr>
          <w:trHeight w:val="237"/>
        </w:trPr>
        <w:tc>
          <w:tcPr>
            <w:tcW w:w="40" w:type="dxa"/>
            <w:vAlign w:val="bottom"/>
          </w:tcPr>
          <w:p>
            <w:pPr>
              <w:spacing w:after="0"/>
              <w:rPr>
                <w:sz w:val="20"/>
                <w:szCs w:val="20"/>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Intangible assets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Prepaid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w:t>
            </w:r>
          </w:p>
        </w:tc>
      </w:tr>
      <w:tr>
        <w:trPr>
          <w:trHeight w:val="33"/>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deferred tax liability</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Unrecognized Tax Benefits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6"/>
          </w:tcPr>
          <w:p>
            <w:pPr>
              <w:ind w:left="1000"/>
              <w:spacing w:after="0"/>
              <w:rPr>
                <w:sz w:val="20"/>
                <w:szCs w:val="20"/>
                <w:color w:val="auto"/>
              </w:rPr>
            </w:pPr>
            <w:r>
              <w:rPr>
                <w:rFonts w:ascii="Arial" w:cs="Arial" w:eastAsia="Arial" w:hAnsi="Arial"/>
                <w:sz w:val="16"/>
                <w:szCs w:val="16"/>
                <w:b w:val="1"/>
                <w:bCs w:val="1"/>
                <w:color w:val="auto"/>
                <w:w w:val="90"/>
              </w:rPr>
              <w:t>Years Ended December 31,</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beginning of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40" w:type="dxa"/>
            <w:vAlign w:val="bottom"/>
          </w:tcPr>
          <w:p>
            <w:pPr>
              <w:spacing w:after="0"/>
              <w:rPr>
                <w:sz w:val="20"/>
                <w:szCs w:val="20"/>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Additions based on tax positions related to the prior year</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Additions for tax positions of 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860" w:type="dxa"/>
            <w:vAlign w:val="bottom"/>
            <w:gridSpan w:val="3"/>
          </w:tcPr>
          <w:p>
            <w:pPr>
              <w:ind w:left="40"/>
              <w:spacing w:after="0"/>
              <w:rPr>
                <w:sz w:val="20"/>
                <w:szCs w:val="20"/>
                <w:color w:val="auto"/>
              </w:rPr>
            </w:pPr>
            <w:r>
              <w:rPr>
                <w:rFonts w:ascii="Arial" w:cs="Arial" w:eastAsia="Arial" w:hAnsi="Arial"/>
                <w:sz w:val="16"/>
                <w:szCs w:val="16"/>
                <w:color w:val="auto"/>
              </w:rPr>
              <w:t>Balance as of year end</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accrue interest and penalties related to unrecognized tax benefits in income tax expense. As of December 31, 2018, 2017, and 2016, the accrual required for interest and penalties was less than $1 million. As of December 31, 2018 and 2017, there were $12 million and $7 million, respectively, of unrecognized tax positions that would impact the effective tax rate. As of December 31, 2016, there were no unrecognized tax benefits that, if recognized, would impact the effective tax rate.</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it is reasonably possible that the total amount of unrecognized tax benefits as of December 31, 2018 will not materially change within the next 12 months. Audit outcomes and the timing of audit settlements are subject to significant uncertainty. Although we believe that an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CRC is included in the CEC consolidated U.S. tax return filing and files separate state tax returns in Louisiana and New Jersey. We have allocated U.S. taxes based upon the separate return method for CRC financial reporting purposes. Historically, we have treated U.S. taxes paid or refunds received by CEC for CRC as equity contributions or distributions. Although there is no formal tax sharing agreement in place between the CRC entities and CEC for U.S. income tax purposes, CRC may make payments to CEC or its subsidiaries for U.S. taxes that would have been paid if CRC was a standalone taxpayer.</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years that remain open for examination for our major jurisdictions are 2014 through 2018 for New Jersey. The tax years of 2015 through 2018 remain open for examination for U.S. tax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 Related Party Transactions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Related Party Transactions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gridSpan w:val="6"/>
          </w:tcPr>
          <w:p>
            <w:pPr>
              <w:ind w:left="40"/>
              <w:spacing w:after="0"/>
              <w:rPr>
                <w:sz w:val="20"/>
                <w:szCs w:val="20"/>
                <w:color w:val="auto"/>
              </w:rPr>
            </w:pPr>
            <w:r>
              <w:rPr>
                <w:rFonts w:ascii="Arial" w:cs="Arial" w:eastAsia="Arial" w:hAnsi="Arial"/>
                <w:sz w:val="16"/>
                <w:szCs w:val="16"/>
                <w:b w:val="1"/>
                <w:bCs w:val="1"/>
                <w:color w:val="auto"/>
                <w:w w:val="89"/>
              </w:rPr>
              <w:t>Years Ended December 31,</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9"/>
                <w:szCs w:val="19"/>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CEOC LLC Shared Services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Service provider fee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Management fees to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Transactions with CEC and other affiliates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Employee benefits and incentive awards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Transactions with Sponsors and their affiliates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Reimbursements and expenses allocated to CRC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0" w:type="dxa"/>
            <w:vAlign w:val="bottom"/>
          </w:tcPr>
          <w:p>
            <w:pPr>
              <w:spacing w:after="0"/>
              <w:rPr>
                <w:sz w:val="23"/>
                <w:szCs w:val="23"/>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 xml:space="preserve">Expenses paid to Sponsors’ portfolio companies </w:t>
            </w:r>
            <w:r>
              <w:rPr>
                <w:rFonts w:ascii="Arial" w:cs="Arial" w:eastAsia="Arial" w:hAnsi="Arial"/>
                <w:sz w:val="21"/>
                <w:szCs w:val="21"/>
                <w:i w:val="1"/>
                <w:iCs w:val="1"/>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related party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Lease revenue received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240"/>
              <w:spacing w:after="0"/>
              <w:rPr>
                <w:sz w:val="20"/>
                <w:szCs w:val="20"/>
                <w:color w:val="auto"/>
              </w:rPr>
            </w:pPr>
            <w:r>
              <w:rPr>
                <w:rFonts w:ascii="Arial" w:cs="Arial" w:eastAsia="Arial" w:hAnsi="Arial"/>
                <w:sz w:val="16"/>
                <w:szCs w:val="16"/>
                <w:color w:val="auto"/>
              </w:rPr>
              <w:t>World Series of Poker agreements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9"/>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3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9"/>
          <w:szCs w:val="9"/>
          <w:i w:val="1"/>
          <w:iCs w:val="1"/>
          <w:color w:val="auto"/>
        </w:rPr>
      </w:pPr>
      <w:r>
        <w:rPr>
          <w:rFonts w:ascii="Arial" w:cs="Arial" w:eastAsia="Arial" w:hAnsi="Arial"/>
          <w:sz w:val="14"/>
          <w:szCs w:val="14"/>
          <w:i w:val="1"/>
          <w:iCs w:val="1"/>
          <w:color w:val="auto"/>
        </w:rPr>
        <w:t>An immaterial amount was paid to the Sponsors’ portfolio companies in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Enterprise Services, LLC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CES provides certain corporate, administrative and management services to its members, and the costs of these services are allocated among the members with 61% allocated to CEOC, LLC (“CEOC LLC”) and 39% allocated to CRC. CES serves as an agent on behalf of the members at a cost-basis. Members reimburse CES for the services it performs and the costs it incurs. CRC consolidates CES as of December 22, 2017 and CES is no longer treated as a related party going forward.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CEOC LLC Shared Services Agreement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 shared services agreement, CEOC LLC provides Caesars Entertainment with certain corporate and administrative services, and the costs of these services are allocated among all of Caesars Entertainment’s operating subsidiaries (including the Company). Many of these corporate and administrative services are now provided by 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Provider Fee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shared services agreements, CRC pays for certain indirect corporate support costs. CEOC LLC is authorized to charge CRC for an amount equal to 39.5% of unallocated corporate support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 to Related Parties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Prepaid management fees to related parties represents (i) our 50% interest in the management fee revenues of PHW Manager, LLC, recognized as a long-term prepaid asset of $70 million amortized over 35 years starting in October 2013, and (ii) our 50% interest in the management fee revenues of the Harrah’s New Orleans Management Company, The Quad Manager, LLC, Bally’s Las Vegas Manager, LLC and Cromwell Manager, LLC, recognized as a long-term prepaid asset of $138 million amortized over 15 years starting in May 2014. The amortization periods represent the terms of the related management contracts. As of both December 31, 2018 and 2017, the payable balance related to these fees and recorded in Payables to related parties on the Balance Sheets was $2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CEC and Other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Benefit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CEC maintains a defined contribution savings and retirement plan in which employees of CRC may participate. The plan provides for, among other things, pre-tax, Roth, and after-tax contributions by employees. The plan also provides for employer matching contributions. Under the plan, participating employees may elect to contribute a percentage of their eligible earnings (subject to</w:t>
      </w:r>
    </w:p>
    <w:p>
      <w:pPr>
        <w:sectPr>
          <w:pgSz w:w="11900" w:h="16838" w:orient="portrait"/>
          <w:cols w:equalWidth="0" w:num="1">
            <w:col w:w="11420"/>
          </w:cols>
          <w:pgMar w:left="240" w:top="55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53"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IRS and plan limits). In addition, employees subject to certain collective bargaining agreements receive benefits through the multi-employer retirement plans sponsored by the organization in which they are a member. The expenses related to contributions for a participant in the CEC plan or a multi-employer plan are allocated to the properties at which the participant is employed.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Awards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CEC maintains an equity incentive awards plan under which CEC may issue time-based and performance-based stock options, restricted stock units and restricted stock awards to CRC employees. Although awards under the plan result in the issuance of shares of CEC common stock, because CRC is a consolidated subsidiary of CEC, the amounts are included in CRC stock-based compensation expense as a component of total compensation for CRC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Sponsors and their Affiliates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members of Hamlet Holdings LLC are comprised of individuals affiliated with Apollo Global Management, LLC and affiliates of TPG Capital LP (collectively, the “Sponsors”) and own CEC common stock. On the Effective Date, CEC entered into a “Termination Agreement” with the Sponsors and their affiliates, pursuant to which certain agreements terminated. Due to reductions in ownership percentage of CEC starting on the Effective Date, we are no longer controlled or significantly influenced by the Sponsors. Amounts paid prior to the Effective Date to the Sponsors’ portfolio companies with which we engage in transactions are included in the table above. We believe such transactions were conducted at fair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Bally’s Las Vegas—JGB Vegas Retail Lease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Bally’s Las Vegas leases land to JGB Vegas Retail Lessee, LLC (“JGB Lessee”) under a ground lease that includes annual base rent payments with annual escalations as well as an annual percentage of revenue payable should JGB Lessee revenues exceed a breakpoint as defined in the lease agreement, which is paid on a monthly basis. Rental payments began in February 2015. GB Investor, LLC, a wholly owned subsidiary of Caesars Entertainment, has an approximate 10% ownership interest in JGB Lessee. Revenues from the ground lease are currently being recognized straight-line over the term of the lease starting in December 2013 upon transfer of rights to the property through February 2035.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Octavius Tower Lease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prior Octavius Tower lease arrangement, VICI leased the Octavius Tower from us, and CEOC LLC and its applicable subsidiaries then sub-leased the Octavius Tower from VICI pursuant to the long-term lease agreement with VICI relating to Caesars Palace. On July 11, 2018, we sold the real estate assets of the Octavius Tower to VICI. CEOC LLC and its applicable subsidiaries continue to lease the Octavius Tower under the current terms of the long-term lease agreement with VICI relating to Caesars Palace.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LINQ Access and Parking Easement Lease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LINQ Access and Parking Easement lease agreement, subsidiaries of CEOC LLC granted easements to us and certain of our subsidiaries to use the parking lot behind The LINQ Promenade and The LINQ Hotel &amp; Casino. The parking lot was sold to VICI upon CEOC’s emergence from bankruptcy but was partially repurchased by us as part of the purchase of approximately 18 acres of land adjacent to the Harrah’s Las Vegas property with the other portion still owned by VICI with the easements to us running with the land. We pay approximately $1 million annually for the easements to CEOC LLC for the remaining portion owned by VICI.</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 Series of Poker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multiple agreements with Caesars Interactive Entertainment, LLC (“CIE”), a wholly owned subsidiary of Caesars Entertainment, we are allowed to host various World Series of Poker events in Las Vegas and Atlantic City, including the annual Main Event at Rio All-Suites Hotel &amp; Casino. CRC pays CIE $2 million per year for the right to host World Series of Poker tournaments in Las Vegas and pays to host certain World Series of Poker circuit events in Atlantic City. The Main Event agreement has expired but the events continue under these payment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Rewards Loyalty Program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Effective Date, the Caesars Rewards program administration and liability was transferred from CEOC LLC to CES as an equity contribution, and CRC consolidates CES as of December 22, 2017. The total estimated liability related to Reward Credits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53"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CAESARS RESORT COLLECTION,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earned by customers is accrued by CES. As further described in Note 12, the liability is reduced as Reward Credits are redeemed by customers, and the related revenue is recognized at the property at which the Reward Credits are redeemed. These amounts related to other CEC properties are included in Due from affiliates, net on the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Centralized Transactions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participates with other Caesars Entertainment subsidiaries in marketing, purchasing, insurance, employee benefit and other programs that are defined, negotiated and managed by Caesars Entertainment on an enterprise-wide basis. The Company believes that participating in these consolidated programs is beneficial in comparison to the cost and terms for similar programs that it could negotiate on a standalone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from/to Affiliates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due from or to affiliates for each counterparty represent the net receivable or payable as of the end of the reporting period primarily resulting from the transactions described above and are settled on a net basis by each counterparty in accordance with the legal and contractual restrictions governing transactions by and among CRC’s affiliated entities. Due from affiliates, net was $138 million and $212 million, respectively, and Due to affiliates, net was $4 million and $3 million, respectively, as of December 31,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CEC Promissory Note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CES has an intercompany loan with CEC for a $15 million promissory note that CEC paid to the Buena Vista Gaming Authority on behalf of CES. As of December 31, 2018, the intercompany loan is included in Long-term debt to related party on the Balance Sheets.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53" w:right="239" w:bottom="1440" w:gutter="0" w:footer="0" w:header="0"/>
        </w:sectPr>
      </w:pPr>
    </w:p>
    <w:bookmarkStart w:id="73" w:name="page74"/>
    <w:bookmarkEnd w:id="73"/>
    <w:p>
      <w:pPr>
        <w:spacing w:after="0"/>
        <w:rPr>
          <w:sz w:val="20"/>
          <w:szCs w:val="20"/>
          <w:color w:val="auto"/>
        </w:rPr>
      </w:pPr>
      <w:r>
        <w:rPr>
          <w:rFonts w:ascii="Arial" w:cs="Arial" w:eastAsia="Arial" w:hAnsi="Arial"/>
          <w:sz w:val="19"/>
          <w:szCs w:val="19"/>
          <w:b w:val="1"/>
          <w:bCs w:val="1"/>
          <w:color w:val="BF2115"/>
        </w:rPr>
        <w:t>ITEM 9.  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9A.Controls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Item 9A, “Controls and Procedures,” has been omitted from this report pursuant to Section 4.02 of the CRC Indenture.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531"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BF2115"/>
        </w:rPr>
        <w:t>PART III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have been omitted from this report:</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ITEM 10, “Directors, Executive Officers and Corporate Governance;”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ITEM 11, “Executive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ITEM 12, “Security Ownership of Certain Beneficial Owners and Management and Related Stockholder Matters;”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ITEM 13, “Certain Relationships and Related Transactions, and Director Independence.”</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14. Principal Accounting Fees and Services</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CRC’s principal accounting fees and services will be included as part of CEC’s principal accounting fees and services under the caption “Audit Matters” in CEC’s definitive Proxy Statement for its 2019 Annual Meeting of Stockholders; provided that if the Proxy Statement is not filed on or before April 30, 2019, such information will be included in an amendment to CEC’s Form 10</w:t>
      </w:r>
      <w:r>
        <w:rPr>
          <w:rFonts w:ascii="MS PGothic" w:cs="MS PGothic" w:eastAsia="MS PGothic" w:hAnsi="MS PGothic"/>
          <w:sz w:val="18"/>
          <w:szCs w:val="18"/>
          <w:color w:val="auto"/>
        </w:rPr>
        <w:t>‑</w:t>
      </w:r>
      <w:r>
        <w:rPr>
          <w:rFonts w:ascii="Arial" w:cs="Arial" w:eastAsia="Arial" w:hAnsi="Arial"/>
          <w:sz w:val="18"/>
          <w:szCs w:val="18"/>
          <w:color w:val="auto"/>
        </w:rPr>
        <w:t>K filed on or before such 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BF2115"/>
        </w:rPr>
        <w:t>PART IV</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15.Exhibits, Financial Statement Schedules</w:t>
      </w:r>
    </w:p>
    <w:p>
      <w:pPr>
        <w:spacing w:after="0" w:line="165" w:lineRule="exact"/>
        <w:rPr>
          <w:sz w:val="20"/>
          <w:szCs w:val="20"/>
          <w:color w:val="auto"/>
        </w:rPr>
      </w:pPr>
    </w:p>
    <w:p>
      <w:pPr>
        <w:ind w:left="1300" w:hanging="129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Financial statements of the Company (including related notes to consolidated financial statements) included as part of this report are listed below (see Item 8):</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Operations and Comprehensive Income/(Loss) for the Years Ended December 31, 2018, 2017 and 2016.</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Member’s Equity for the Years Ended December 31, 2018, 2017 and 2016.</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17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Financial statement schedules of the Company as follows:</w:t>
      </w:r>
    </w:p>
    <w:p>
      <w:pPr>
        <w:spacing w:after="0" w:line="17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Schedules I through V have been omitted because they are not required or are not applicable, or the required information is shown in the financial statements or notes to the financial statements.</w:t>
      </w:r>
    </w:p>
    <w:p>
      <w:pPr>
        <w:spacing w:after="0" w:line="11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347"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420"/>
          </w:cols>
          <w:pgMar w:left="240" w:top="531" w:right="239" w:bottom="1440" w:gutter="0" w:footer="0" w:header="0"/>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60" w:type="dxa"/>
            <w:vAlign w:val="bottom"/>
            <w:gridSpan w:val="7"/>
          </w:tcPr>
          <w:p>
            <w:pPr>
              <w:ind w:left="82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33"/>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7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vMerge w:val="restart"/>
          </w:tcPr>
          <w:p>
            <w:pPr>
              <w:spacing w:after="0"/>
              <w:rPr>
                <w:rFonts w:ascii="Arial" w:cs="Arial" w:eastAsia="Arial" w:hAnsi="Arial"/>
                <w:sz w:val="16"/>
                <w:szCs w:val="16"/>
                <w:color w:val="0000EE"/>
                <w:w w:val="93"/>
              </w:rPr>
            </w:pPr>
            <w:hyperlink r:id="rId22">
              <w:r>
                <w:rPr>
                  <w:rFonts w:ascii="Arial" w:cs="Arial" w:eastAsia="Arial" w:hAnsi="Arial"/>
                  <w:sz w:val="16"/>
                  <w:szCs w:val="16"/>
                  <w:color w:val="0000EE"/>
                  <w:w w:val="93"/>
                </w:rPr>
                <w:t>Amended and Restated Agreement and Plan of Merger, dated as</w:t>
              </w:r>
            </w:hyperlink>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top w:val="single" w:sz="8" w:color="0000EE"/>
            </w:tcBorders>
            <w:gridSpan w:val="6"/>
          </w:tcPr>
          <w:p>
            <w:pPr>
              <w:spacing w:after="0" w:line="183" w:lineRule="exact"/>
              <w:rPr>
                <w:rFonts w:ascii="Arial" w:cs="Arial" w:eastAsia="Arial" w:hAnsi="Arial"/>
                <w:sz w:val="16"/>
                <w:szCs w:val="16"/>
                <w:color w:val="0000EE"/>
                <w:w w:val="97"/>
              </w:rPr>
            </w:pPr>
            <w:hyperlink r:id="rId22">
              <w:r>
                <w:rPr>
                  <w:rFonts w:ascii="Arial" w:cs="Arial" w:eastAsia="Arial" w:hAnsi="Arial"/>
                  <w:sz w:val="16"/>
                  <w:szCs w:val="16"/>
                  <w:color w:val="0000EE"/>
                  <w:w w:val="97"/>
                </w:rPr>
                <w:t>of July 9, 2016, between Caesars Acquisition Company and</w:t>
              </w:r>
            </w:hyperlink>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0"/>
              </w:rPr>
            </w:pPr>
            <w:hyperlink r:id="rId22">
              <w:r>
                <w:rPr>
                  <w:rFonts w:ascii="Arial" w:cs="Arial" w:eastAsia="Arial" w:hAnsi="Arial"/>
                  <w:sz w:val="16"/>
                  <w:szCs w:val="16"/>
                  <w:color w:val="0000EE"/>
                  <w:w w:val="90"/>
                </w:rPr>
                <w:t>Caesars Entertainment Corporation.</w:t>
              </w:r>
            </w:hyperlink>
          </w:p>
        </w:tc>
        <w:tc>
          <w:tcPr>
            <w:tcW w:w="1540" w:type="dxa"/>
            <w:vAlign w:val="bottom"/>
            <w:tcBorders>
              <w:top w:val="single" w:sz="8" w:color="0000EE"/>
            </w:tcBorders>
            <w:gridSpan w:val="2"/>
          </w:tcPr>
          <w:p>
            <w:pPr>
              <w:spacing w:after="0"/>
              <w:rPr>
                <w:sz w:val="15"/>
                <w:szCs w:val="15"/>
                <w:color w:val="auto"/>
              </w:rPr>
            </w:pPr>
          </w:p>
        </w:tc>
        <w:tc>
          <w:tcPr>
            <w:tcW w:w="4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7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EE"/>
            </w:tcBorders>
            <w:gridSpan w:val="7"/>
          </w:tcPr>
          <w:p>
            <w:pPr>
              <w:spacing w:after="0"/>
              <w:rPr>
                <w:rFonts w:ascii="Arial" w:cs="Arial" w:eastAsia="Arial" w:hAnsi="Arial"/>
                <w:sz w:val="16"/>
                <w:szCs w:val="16"/>
                <w:color w:val="0000EE"/>
                <w:w w:val="90"/>
              </w:rPr>
            </w:pPr>
            <w:hyperlink r:id="rId23">
              <w:r>
                <w:rPr>
                  <w:rFonts w:ascii="Arial" w:cs="Arial" w:eastAsia="Arial" w:hAnsi="Arial"/>
                  <w:sz w:val="16"/>
                  <w:szCs w:val="16"/>
                  <w:color w:val="0000EE"/>
                  <w:w w:val="90"/>
                </w:rPr>
                <w:t>First Amendment to Amended and Restated Agreement and Plan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8"/>
          </w:tcPr>
          <w:p>
            <w:pPr>
              <w:spacing w:after="0" w:line="183" w:lineRule="exact"/>
              <w:rPr>
                <w:rFonts w:ascii="Arial" w:cs="Arial" w:eastAsia="Arial" w:hAnsi="Arial"/>
                <w:sz w:val="16"/>
                <w:szCs w:val="16"/>
                <w:color w:val="0000EE"/>
              </w:rPr>
            </w:pPr>
            <w:hyperlink r:id="rId23">
              <w:r>
                <w:rPr>
                  <w:rFonts w:ascii="Arial" w:cs="Arial" w:eastAsia="Arial" w:hAnsi="Arial"/>
                  <w:sz w:val="16"/>
                  <w:szCs w:val="16"/>
                  <w:color w:val="0000EE"/>
                </w:rPr>
                <w:t>of Merger, dated as of February 20, 2017, by and between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8"/>
          </w:tcPr>
          <w:p>
            <w:pPr>
              <w:spacing w:after="0" w:line="183" w:lineRule="exact"/>
              <w:rPr>
                <w:rFonts w:ascii="Arial" w:cs="Arial" w:eastAsia="Arial" w:hAnsi="Arial"/>
                <w:sz w:val="16"/>
                <w:szCs w:val="16"/>
                <w:color w:val="0000EE"/>
              </w:rPr>
            </w:pPr>
            <w:hyperlink r:id="rId23">
              <w:r>
                <w:rPr>
                  <w:rFonts w:ascii="Arial" w:cs="Arial" w:eastAsia="Arial" w:hAnsi="Arial"/>
                  <w:sz w:val="16"/>
                  <w:szCs w:val="16"/>
                  <w:color w:val="0000EE"/>
                </w:rPr>
                <w:t>Caesars Entertainment Corporation and Caesars Acquisition</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EE"/>
            </w:tcBorders>
            <w:gridSpan w:val="5"/>
          </w:tcPr>
          <w:p>
            <w:pPr>
              <w:spacing w:after="0" w:line="183" w:lineRule="exact"/>
              <w:rPr>
                <w:rFonts w:ascii="Arial" w:cs="Arial" w:eastAsia="Arial" w:hAnsi="Arial"/>
                <w:sz w:val="16"/>
                <w:szCs w:val="16"/>
                <w:color w:val="0000EE"/>
              </w:rPr>
            </w:pPr>
            <w:hyperlink r:id="rId23">
              <w:r>
                <w:rPr>
                  <w:rFonts w:ascii="Arial" w:cs="Arial" w:eastAsia="Arial" w:hAnsi="Arial"/>
                  <w:sz w:val="16"/>
                  <w:szCs w:val="16"/>
                  <w:color w:val="0000EE"/>
                </w:rPr>
                <w:t>Company.</w:t>
              </w:r>
            </w:hyperlink>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+Included</w:t>
            </w: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0"/>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Herewith</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Form</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 Ending</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Filing Date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22"/>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right"/>
              <w:ind w:right="3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7/11/2016</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spacing w:after="0"/>
        <w:tabs>
          <w:tab w:leader="none" w:pos="1360" w:val="left"/>
          <w:tab w:leader="none" w:pos="2640" w:val="left"/>
          <w:tab w:leader="none" w:pos="3980" w:val="left"/>
          <w:tab w:leader="none" w:pos="5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2/21/2017</w:t>
      </w:r>
    </w:p>
    <w:p>
      <w:pPr>
        <w:spacing w:after="0" w:line="493" w:lineRule="exact"/>
        <w:rPr>
          <w:sz w:val="20"/>
          <w:szCs w:val="20"/>
          <w:color w:val="auto"/>
        </w:rPr>
      </w:pPr>
    </w:p>
    <w:p>
      <w:pPr>
        <w:sectPr>
          <w:pgSz w:w="11900" w:h="16838" w:orient="portrait"/>
          <w:cols w:equalWidth="0" w:num="2">
            <w:col w:w="5160" w:space="120"/>
            <w:col w:w="6140"/>
          </w:cols>
          <w:pgMar w:left="240" w:top="531" w:right="239" w:bottom="1440" w:gutter="0" w:footer="0" w:header="0"/>
          <w:type w:val="continuous"/>
        </w:sectPr>
      </w:pPr>
    </w:p>
    <w:tbl>
      <w:tblPr>
        <w:tblLayout w:type="fixed"/>
        <w:tblInd w:w="260" w:type="dxa"/>
        <w:tblCellMar>
          <w:top w:w="0" w:type="dxa"/>
          <w:left w:w="0" w:type="dxa"/>
          <w:bottom w:w="0" w:type="dxa"/>
          <w:right w:w="0" w:type="dxa"/>
        </w:tblCellMar>
      </w:tblPr>
      <w:tr>
        <w:trPr>
          <w:trHeight w:val="184"/>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2.3</w:t>
            </w:r>
          </w:p>
        </w:tc>
        <w:tc>
          <w:tcPr>
            <w:tcW w:w="4160" w:type="dxa"/>
            <w:vAlign w:val="bottom"/>
            <w:tcBorders>
              <w:bottom w:val="single" w:sz="8" w:color="0000EE"/>
            </w:tcBorders>
            <w:gridSpan w:val="13"/>
          </w:tcPr>
          <w:p>
            <w:pPr>
              <w:spacing w:after="0"/>
              <w:rPr>
                <w:rFonts w:ascii="Arial" w:cs="Arial" w:eastAsia="Arial" w:hAnsi="Arial"/>
                <w:sz w:val="16"/>
                <w:szCs w:val="16"/>
                <w:color w:val="0000EE"/>
                <w:w w:val="90"/>
              </w:rPr>
            </w:pPr>
            <w:hyperlink r:id="rId24">
              <w:r>
                <w:rPr>
                  <w:rFonts w:ascii="Arial" w:cs="Arial" w:eastAsia="Arial" w:hAnsi="Arial"/>
                  <w:sz w:val="16"/>
                  <w:szCs w:val="16"/>
                  <w:color w:val="0000EE"/>
                  <w:w w:val="90"/>
                </w:rPr>
                <w:t>Agreement and Plan of Merger, dated as of December 21, 2017,</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100" w:type="dxa"/>
            <w:vAlign w:val="bottom"/>
            <w:tcBorders>
              <w:bottom w:val="single" w:sz="8" w:color="0000EE"/>
            </w:tcBorders>
            <w:gridSpan w:val="11"/>
          </w:tcPr>
          <w:p>
            <w:pPr>
              <w:spacing w:after="0" w:line="183" w:lineRule="exact"/>
              <w:rPr>
                <w:rFonts w:ascii="Arial" w:cs="Arial" w:eastAsia="Arial" w:hAnsi="Arial"/>
                <w:sz w:val="16"/>
                <w:szCs w:val="16"/>
                <w:color w:val="0000EE"/>
                <w:w w:val="91"/>
              </w:rPr>
            </w:pPr>
            <w:hyperlink r:id="rId24">
              <w:r>
                <w:rPr>
                  <w:rFonts w:ascii="Arial" w:cs="Arial" w:eastAsia="Arial" w:hAnsi="Arial"/>
                  <w:sz w:val="16"/>
                  <w:szCs w:val="16"/>
                  <w:color w:val="0000EE"/>
                  <w:w w:val="91"/>
                </w:rPr>
                <w:t>by and between Caesars Growth Properties Holdings, LLC and</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06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r:id="rId24">
              <w:r>
                <w:rPr>
                  <w:rFonts w:ascii="Arial" w:cs="Arial" w:eastAsia="Arial" w:hAnsi="Arial"/>
                  <w:sz w:val="16"/>
                  <w:szCs w:val="16"/>
                  <w:color w:val="0000EE"/>
                  <w:w w:val="90"/>
                </w:rPr>
                <w:t>Caesars Entertainment Resort Properties, LLC.</w:t>
              </w:r>
            </w:hyperlink>
          </w:p>
        </w:tc>
        <w:tc>
          <w:tcPr>
            <w:tcW w:w="1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2.4</w:t>
            </w:r>
          </w:p>
        </w:tc>
        <w:tc>
          <w:tcPr>
            <w:tcW w:w="4260" w:type="dxa"/>
            <w:vAlign w:val="bottom"/>
            <w:gridSpan w:val="15"/>
          </w:tcPr>
          <w:p>
            <w:pPr>
              <w:spacing w:after="0"/>
              <w:rPr>
                <w:rFonts w:ascii="Arial" w:cs="Arial" w:eastAsia="Arial" w:hAnsi="Arial"/>
                <w:sz w:val="16"/>
                <w:szCs w:val="16"/>
                <w:color w:val="0000EE"/>
              </w:rPr>
            </w:pPr>
            <w:hyperlink r:id="rId25">
              <w:r>
                <w:rPr>
                  <w:rFonts w:ascii="Arial" w:cs="Arial" w:eastAsia="Arial" w:hAnsi="Arial"/>
                  <w:sz w:val="16"/>
                  <w:szCs w:val="16"/>
                  <w:color w:val="0000EE"/>
                </w:rPr>
                <w:t>Purchase and Sale Agreement, dated July 11, 2018, by and</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388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r:id="rId25">
              <w:r>
                <w:rPr>
                  <w:rFonts w:ascii="Arial" w:cs="Arial" w:eastAsia="Arial" w:hAnsi="Arial"/>
                  <w:sz w:val="16"/>
                  <w:szCs w:val="16"/>
                  <w:color w:val="0000EE"/>
                  <w:w w:val="91"/>
                </w:rPr>
                <w:t>between Caesars Octavius, LLC and Octavius Propco LLC.</w:t>
              </w:r>
            </w:hyperlink>
          </w:p>
        </w:tc>
        <w:tc>
          <w:tcPr>
            <w:tcW w:w="3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2.5</w:t>
            </w:r>
          </w:p>
        </w:tc>
        <w:tc>
          <w:tcPr>
            <w:tcW w:w="4260" w:type="dxa"/>
            <w:vAlign w:val="bottom"/>
            <w:gridSpan w:val="15"/>
          </w:tcPr>
          <w:p>
            <w:pPr>
              <w:spacing w:after="0"/>
              <w:rPr>
                <w:rFonts w:ascii="Arial" w:cs="Arial" w:eastAsia="Arial" w:hAnsi="Arial"/>
                <w:sz w:val="16"/>
                <w:szCs w:val="16"/>
                <w:color w:val="0000EE"/>
              </w:rPr>
            </w:pPr>
            <w:hyperlink r:id="rId26">
              <w:r>
                <w:rPr>
                  <w:rFonts w:ascii="Arial" w:cs="Arial" w:eastAsia="Arial" w:hAnsi="Arial"/>
                  <w:sz w:val="16"/>
                  <w:szCs w:val="16"/>
                  <w:color w:val="0000EE"/>
                </w:rPr>
                <w:t>Purchase and Sale Agreement, dated July 11, 2018, by and</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388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r:id="rId26">
              <w:r>
                <w:rPr>
                  <w:rFonts w:ascii="Arial" w:cs="Arial" w:eastAsia="Arial" w:hAnsi="Arial"/>
                  <w:sz w:val="16"/>
                  <w:szCs w:val="16"/>
                  <w:color w:val="0000EE"/>
                  <w:w w:val="91"/>
                </w:rPr>
                <w:t>between Chester Downs and Marina, LLC and Philadelphia</w:t>
              </w:r>
            </w:hyperlink>
          </w:p>
        </w:tc>
        <w:tc>
          <w:tcPr>
            <w:tcW w:w="3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860" w:type="dxa"/>
            <w:vAlign w:val="bottom"/>
            <w:tcBorders>
              <w:bottom w:val="single" w:sz="8" w:color="0000EE"/>
            </w:tcBorders>
          </w:tcPr>
          <w:p>
            <w:pPr>
              <w:spacing w:after="0" w:line="183" w:lineRule="exact"/>
              <w:rPr>
                <w:rFonts w:ascii="Arial" w:cs="Arial" w:eastAsia="Arial" w:hAnsi="Arial"/>
                <w:sz w:val="16"/>
                <w:szCs w:val="16"/>
                <w:color w:val="0000EE"/>
                <w:w w:val="94"/>
              </w:rPr>
            </w:pPr>
            <w:hyperlink r:id="rId26">
              <w:r>
                <w:rPr>
                  <w:rFonts w:ascii="Arial" w:cs="Arial" w:eastAsia="Arial" w:hAnsi="Arial"/>
                  <w:sz w:val="16"/>
                  <w:szCs w:val="16"/>
                  <w:color w:val="0000EE"/>
                  <w:w w:val="94"/>
                </w:rPr>
                <w:t>Propco LLC.</w:t>
              </w:r>
            </w:hyperlink>
          </w:p>
        </w:tc>
        <w:tc>
          <w:tcPr>
            <w:tcW w:w="34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3.1</w:t>
            </w:r>
          </w:p>
        </w:tc>
        <w:tc>
          <w:tcPr>
            <w:tcW w:w="4260" w:type="dxa"/>
            <w:vAlign w:val="bottom"/>
            <w:gridSpan w:val="15"/>
            <w:vMerge w:val="restart"/>
          </w:tcPr>
          <w:p>
            <w:pPr>
              <w:spacing w:after="0"/>
              <w:rPr>
                <w:rFonts w:ascii="Arial" w:cs="Arial" w:eastAsia="Arial" w:hAnsi="Arial"/>
                <w:sz w:val="16"/>
                <w:szCs w:val="16"/>
                <w:color w:val="0000EE"/>
              </w:rPr>
            </w:pPr>
            <w:hyperlink r:id="rId27">
              <w:r>
                <w:rPr>
                  <w:rFonts w:ascii="Arial" w:cs="Arial" w:eastAsia="Arial" w:hAnsi="Arial"/>
                  <w:sz w:val="16"/>
                  <w:szCs w:val="16"/>
                  <w:color w:val="0000EE"/>
                </w:rPr>
                <w:t>Amended and Restated Certificate of Formation of Caesars</w:t>
              </w:r>
            </w:hyperlink>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42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27">
              <w:r>
                <w:rPr>
                  <w:rFonts w:ascii="Arial" w:cs="Arial" w:eastAsia="Arial" w:hAnsi="Arial"/>
                  <w:sz w:val="16"/>
                  <w:szCs w:val="16"/>
                  <w:color w:val="0000EE"/>
                  <w:w w:val="93"/>
                </w:rPr>
                <w:t>Growth Properties Holdings, LLC, dated May 5, 2014.</w:t>
              </w:r>
            </w:hyperlink>
          </w:p>
        </w:tc>
        <w:tc>
          <w:tcPr>
            <w:tcW w:w="280" w:type="dxa"/>
            <w:vAlign w:val="bottom"/>
            <w:tcBorders>
              <w:top w:val="single" w:sz="8" w:color="0000EE"/>
            </w:tcBorders>
            <w:gridSpan w:val="2"/>
          </w:tcPr>
          <w:p>
            <w:pPr>
              <w:spacing w:after="0"/>
              <w:rPr>
                <w:sz w:val="15"/>
                <w:szCs w:val="15"/>
                <w:color w:val="auto"/>
              </w:rPr>
            </w:pPr>
          </w:p>
        </w:tc>
        <w:tc>
          <w:tcPr>
            <w:tcW w:w="4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3.2</w:t>
            </w:r>
          </w:p>
        </w:tc>
        <w:tc>
          <w:tcPr>
            <w:tcW w:w="4240" w:type="dxa"/>
            <w:vAlign w:val="bottom"/>
            <w:tcBorders>
              <w:bottom w:val="single" w:sz="8" w:color="0000EE"/>
            </w:tcBorders>
            <w:gridSpan w:val="14"/>
          </w:tcPr>
          <w:p>
            <w:pPr>
              <w:spacing w:after="0"/>
              <w:rPr>
                <w:rFonts w:ascii="Arial" w:cs="Arial" w:eastAsia="Arial" w:hAnsi="Arial"/>
                <w:sz w:val="16"/>
                <w:szCs w:val="16"/>
                <w:color w:val="0000EE"/>
                <w:w w:val="90"/>
              </w:rPr>
            </w:pPr>
            <w:hyperlink r:id="rId28">
              <w:r>
                <w:rPr>
                  <w:rFonts w:ascii="Arial" w:cs="Arial" w:eastAsia="Arial" w:hAnsi="Arial"/>
                  <w:sz w:val="16"/>
                  <w:szCs w:val="16"/>
                  <w:color w:val="0000EE"/>
                  <w:w w:val="90"/>
                </w:rPr>
                <w:t>Certificate of Merger, dated as of December 22, 2017, of Caesars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920" w:type="dxa"/>
            <w:vAlign w:val="bottom"/>
            <w:tcBorders>
              <w:bottom w:val="single" w:sz="8" w:color="0000EE"/>
            </w:tcBorders>
            <w:gridSpan w:val="10"/>
          </w:tcPr>
          <w:p>
            <w:pPr>
              <w:spacing w:after="0" w:line="183" w:lineRule="exact"/>
              <w:rPr>
                <w:rFonts w:ascii="Arial" w:cs="Arial" w:eastAsia="Arial" w:hAnsi="Arial"/>
                <w:sz w:val="16"/>
                <w:szCs w:val="16"/>
                <w:color w:val="0000EE"/>
                <w:w w:val="91"/>
              </w:rPr>
            </w:pPr>
            <w:hyperlink r:id="rId28">
              <w:r>
                <w:rPr>
                  <w:rFonts w:ascii="Arial" w:cs="Arial" w:eastAsia="Arial" w:hAnsi="Arial"/>
                  <w:sz w:val="16"/>
                  <w:szCs w:val="16"/>
                  <w:color w:val="0000EE"/>
                  <w:w w:val="91"/>
                </w:rPr>
                <w:t>Entertainment Resort Properties, LLC with and into Caesars</w:t>
              </w:r>
            </w:hyperlink>
          </w:p>
        </w:tc>
        <w:tc>
          <w:tcPr>
            <w:tcW w:w="3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260" w:type="dxa"/>
            <w:vAlign w:val="bottom"/>
            <w:gridSpan w:val="15"/>
          </w:tcPr>
          <w:p>
            <w:pPr>
              <w:spacing w:after="0" w:line="183" w:lineRule="exact"/>
              <w:rPr>
                <w:rFonts w:ascii="Arial" w:cs="Arial" w:eastAsia="Arial" w:hAnsi="Arial"/>
                <w:sz w:val="16"/>
                <w:szCs w:val="16"/>
                <w:color w:val="0000EE"/>
              </w:rPr>
            </w:pPr>
            <w:hyperlink r:id="rId28">
              <w:r>
                <w:rPr>
                  <w:rFonts w:ascii="Arial" w:cs="Arial" w:eastAsia="Arial" w:hAnsi="Arial"/>
                  <w:sz w:val="16"/>
                  <w:szCs w:val="16"/>
                  <w:color w:val="0000EE"/>
                </w:rPr>
                <w:t>Growth Properties Holdings, LLC.</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3.3</w:t>
            </w:r>
          </w:p>
        </w:tc>
        <w:tc>
          <w:tcPr>
            <w:tcW w:w="4260" w:type="dxa"/>
            <w:vAlign w:val="bottom"/>
            <w:gridSpan w:val="15"/>
          </w:tcPr>
          <w:p>
            <w:pPr>
              <w:spacing w:after="0"/>
              <w:rPr>
                <w:rFonts w:ascii="Arial" w:cs="Arial" w:eastAsia="Arial" w:hAnsi="Arial"/>
                <w:sz w:val="16"/>
                <w:szCs w:val="16"/>
                <w:color w:val="0000EE"/>
                <w:w w:val="92"/>
              </w:rPr>
            </w:pPr>
            <w:hyperlink r:id="rId29">
              <w:r>
                <w:rPr>
                  <w:rFonts w:ascii="Arial" w:cs="Arial" w:eastAsia="Arial" w:hAnsi="Arial"/>
                  <w:sz w:val="16"/>
                  <w:szCs w:val="16"/>
                  <w:color w:val="0000EE"/>
                  <w:w w:val="92"/>
                </w:rPr>
                <w:t>Amended and Restated Operating Agreement of Caesars Resort</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260" w:type="dxa"/>
            <w:vAlign w:val="bottom"/>
            <w:gridSpan w:val="15"/>
          </w:tcPr>
          <w:p>
            <w:pPr>
              <w:spacing w:after="0" w:line="183" w:lineRule="exact"/>
              <w:rPr>
                <w:rFonts w:ascii="Arial" w:cs="Arial" w:eastAsia="Arial" w:hAnsi="Arial"/>
                <w:sz w:val="16"/>
                <w:szCs w:val="16"/>
                <w:color w:val="0000EE"/>
                <w:w w:val="95"/>
              </w:rPr>
            </w:pPr>
            <w:hyperlink r:id="rId29">
              <w:r>
                <w:rPr>
                  <w:rFonts w:ascii="Arial" w:cs="Arial" w:eastAsia="Arial" w:hAnsi="Arial"/>
                  <w:sz w:val="16"/>
                  <w:szCs w:val="16"/>
                  <w:color w:val="0000EE"/>
                  <w:w w:val="95"/>
                </w:rPr>
                <w:t>Collection, LLC (formerly known as Caesars Growth Properties</w:t>
              </w:r>
            </w:hyperlink>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16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29">
              <w:r>
                <w:rPr>
                  <w:rFonts w:ascii="Arial" w:cs="Arial" w:eastAsia="Arial" w:hAnsi="Arial"/>
                  <w:sz w:val="16"/>
                  <w:szCs w:val="16"/>
                  <w:color w:val="0000EE"/>
                </w:rPr>
                <w:t>Holdings, LLC), dated December 22, 2017.</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jc w:val="right"/>
              <w:ind w:right="299"/>
              <w:spacing w:after="0"/>
              <w:rPr>
                <w:sz w:val="20"/>
                <w:szCs w:val="20"/>
                <w:color w:val="auto"/>
              </w:rPr>
            </w:pPr>
            <w:r>
              <w:rPr>
                <w:rFonts w:ascii="Arial" w:cs="Arial" w:eastAsia="Arial" w:hAnsi="Arial"/>
                <w:sz w:val="16"/>
                <w:szCs w:val="16"/>
                <w:color w:val="auto"/>
                <w:w w:val="80"/>
              </w:rPr>
              <w:t>4.1</w:t>
            </w:r>
          </w:p>
        </w:tc>
        <w:tc>
          <w:tcPr>
            <w:tcW w:w="4140" w:type="dxa"/>
            <w:vAlign w:val="bottom"/>
            <w:tcBorders>
              <w:bottom w:val="single" w:sz="8" w:color="0000EE"/>
            </w:tcBorders>
            <w:gridSpan w:val="12"/>
          </w:tcPr>
          <w:p>
            <w:pPr>
              <w:spacing w:after="0"/>
              <w:rPr>
                <w:rFonts w:ascii="Arial" w:cs="Arial" w:eastAsia="Arial" w:hAnsi="Arial"/>
                <w:sz w:val="16"/>
                <w:szCs w:val="16"/>
                <w:color w:val="0000EE"/>
                <w:w w:val="90"/>
              </w:rPr>
            </w:pPr>
            <w:hyperlink r:id="rId30">
              <w:r>
                <w:rPr>
                  <w:rFonts w:ascii="Arial" w:cs="Arial" w:eastAsia="Arial" w:hAnsi="Arial"/>
                  <w:sz w:val="16"/>
                  <w:szCs w:val="16"/>
                  <w:color w:val="0000EE"/>
                  <w:w w:val="90"/>
                </w:rPr>
                <w:t>Indenture, dated October 16, 2017, by and among CRC Escrow</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26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30">
              <w:r>
                <w:rPr>
                  <w:rFonts w:ascii="Arial" w:cs="Arial" w:eastAsia="Arial" w:hAnsi="Arial"/>
                  <w:sz w:val="16"/>
                  <w:szCs w:val="16"/>
                  <w:color w:val="0000EE"/>
                  <w:w w:val="91"/>
                </w:rPr>
                <w:t>Issuer, LLC, CRC Finco, Inc. and Deutsche Bank Trust Company</w:t>
              </w:r>
            </w:hyperlink>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360" w:type="dxa"/>
            <w:vAlign w:val="bottom"/>
            <w:tcBorders>
              <w:bottom w:val="single" w:sz="8" w:color="0000EE"/>
            </w:tcBorders>
            <w:gridSpan w:val="2"/>
          </w:tcPr>
          <w:p>
            <w:pPr>
              <w:spacing w:after="0" w:line="183" w:lineRule="exact"/>
              <w:rPr>
                <w:rFonts w:ascii="Arial" w:cs="Arial" w:eastAsia="Arial" w:hAnsi="Arial"/>
                <w:sz w:val="16"/>
                <w:szCs w:val="16"/>
                <w:color w:val="0000EE"/>
                <w:w w:val="89"/>
              </w:rPr>
            </w:pPr>
            <w:hyperlink r:id="rId30">
              <w:r>
                <w:rPr>
                  <w:rFonts w:ascii="Arial" w:cs="Arial" w:eastAsia="Arial" w:hAnsi="Arial"/>
                  <w:sz w:val="16"/>
                  <w:szCs w:val="16"/>
                  <w:color w:val="0000EE"/>
                  <w:w w:val="89"/>
                </w:rPr>
                <w:t>Americas, as trustee.</w:t>
              </w:r>
            </w:hyperlink>
          </w:p>
        </w:tc>
        <w:tc>
          <w:tcPr>
            <w:tcW w:w="29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3/15/2018</w:t>
            </w:r>
          </w:p>
        </w:tc>
      </w:tr>
      <w:tr>
        <w:trPr>
          <w:trHeight w:val="675"/>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7/12/2018</w:t>
            </w:r>
          </w:p>
        </w:tc>
      </w:tr>
      <w:tr>
        <w:trPr>
          <w:trHeight w:val="689"/>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7/12/2018</w:t>
            </w:r>
          </w:p>
        </w:tc>
      </w:tr>
      <w:tr>
        <w:trPr>
          <w:trHeight w:val="756"/>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**10-Q</w:t>
            </w:r>
          </w:p>
        </w:tc>
        <w:tc>
          <w:tcPr>
            <w:tcW w:w="1420" w:type="dxa"/>
            <w:vAlign w:val="bottom"/>
          </w:tcPr>
          <w:p>
            <w:pPr>
              <w:jc w:val="center"/>
              <w:ind w:right="39"/>
              <w:spacing w:after="0"/>
              <w:rPr>
                <w:sz w:val="20"/>
                <w:szCs w:val="20"/>
                <w:color w:val="auto"/>
              </w:rPr>
            </w:pPr>
            <w:r>
              <w:rPr>
                <w:rFonts w:ascii="Arial" w:cs="Arial" w:eastAsia="Arial" w:hAnsi="Arial"/>
                <w:sz w:val="16"/>
                <w:szCs w:val="16"/>
                <w:color w:val="auto"/>
                <w:w w:val="92"/>
              </w:rPr>
              <w:t>6/30/2015</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160" w:type="dxa"/>
            <w:vAlign w:val="bottom"/>
          </w:tcPr>
          <w:p>
            <w:pPr>
              <w:jc w:val="center"/>
              <w:ind w:left="359"/>
              <w:spacing w:after="0"/>
              <w:rPr>
                <w:sz w:val="20"/>
                <w:szCs w:val="20"/>
                <w:color w:val="auto"/>
              </w:rPr>
            </w:pPr>
            <w:r>
              <w:rPr>
                <w:rFonts w:ascii="Arial" w:cs="Arial" w:eastAsia="Arial" w:hAnsi="Arial"/>
                <w:sz w:val="16"/>
                <w:szCs w:val="16"/>
                <w:color w:val="auto"/>
                <w:w w:val="89"/>
              </w:rPr>
              <w:t>8/6/2015</w:t>
            </w:r>
          </w:p>
        </w:tc>
      </w:tr>
      <w:tr>
        <w:trPr>
          <w:trHeight w:val="770"/>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99.3</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3/15/2018</w:t>
            </w:r>
          </w:p>
        </w:tc>
      </w:tr>
      <w:tr>
        <w:trPr>
          <w:trHeight w:val="783"/>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99.4</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3/15/2018</w:t>
            </w:r>
          </w:p>
        </w:tc>
      </w:tr>
      <w:tr>
        <w:trPr>
          <w:trHeight w:val="783"/>
        </w:trPr>
        <w:tc>
          <w:tcPr>
            <w:tcW w:w="5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160" w:type="dxa"/>
            <w:vAlign w:val="bottom"/>
          </w:tcPr>
          <w:p>
            <w:pPr>
              <w:jc w:val="center"/>
              <w:ind w:left="339"/>
              <w:spacing w:after="0"/>
              <w:rPr>
                <w:sz w:val="20"/>
                <w:szCs w:val="20"/>
                <w:color w:val="auto"/>
              </w:rPr>
            </w:pPr>
            <w:r>
              <w:rPr>
                <w:rFonts w:ascii="Arial" w:cs="Arial" w:eastAsia="Arial" w:hAnsi="Arial"/>
                <w:sz w:val="16"/>
                <w:szCs w:val="16"/>
                <w:color w:val="auto"/>
                <w:w w:val="92"/>
              </w:rPr>
              <w:t>10/16/2017</w:t>
            </w:r>
          </w:p>
        </w:tc>
      </w:tr>
    </w:tbl>
    <w:p>
      <w:pPr>
        <w:spacing w:after="0" w:line="381" w:lineRule="exact"/>
        <w:rPr>
          <w:sz w:val="20"/>
          <w:szCs w:val="20"/>
          <w:color w:val="auto"/>
        </w:rPr>
      </w:pPr>
    </w:p>
    <w:p>
      <w:pPr>
        <w:sectPr>
          <w:pgSz w:w="11900" w:h="16838" w:orient="portrait"/>
          <w:cols w:equalWidth="0" w:num="2">
            <w:col w:w="5100" w:space="620"/>
            <w:col w:w="5700"/>
          </w:cols>
          <w:pgMar w:left="240" w:top="531" w:right="2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531" w:right="239" w:bottom="1440" w:gutter="0" w:footer="0" w:header="0"/>
          <w:type w:val="continuous"/>
        </w:sectPr>
      </w:pPr>
    </w:p>
    <w:bookmarkStart w:id="76" w:name="page77"/>
    <w:bookmarkEnd w:id="76"/>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31"/>
          </w:tcPr>
          <w:p>
            <w:pPr>
              <w:ind w:left="1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33"/>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EE"/>
            </w:tcBorders>
            <w:gridSpan w:val="18"/>
          </w:tcPr>
          <w:p>
            <w:pPr>
              <w:spacing w:after="0"/>
              <w:rPr>
                <w:rFonts w:ascii="Arial" w:cs="Arial" w:eastAsia="Arial" w:hAnsi="Arial"/>
                <w:sz w:val="16"/>
                <w:szCs w:val="16"/>
                <w:color w:val="0000EE"/>
                <w:w w:val="90"/>
              </w:rPr>
            </w:pPr>
            <w:hyperlink r:id="rId31">
              <w:r>
                <w:rPr>
                  <w:rFonts w:ascii="Arial" w:cs="Arial" w:eastAsia="Arial" w:hAnsi="Arial"/>
                  <w:sz w:val="16"/>
                  <w:szCs w:val="16"/>
                  <w:color w:val="0000EE"/>
                  <w:w w:val="90"/>
                </w:rPr>
                <w:t>Supplemental Indenture, dated December 22, 2017, by and</w:t>
              </w:r>
            </w:hyperlink>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EE"/>
            </w:tcBorders>
            <w:gridSpan w:val="33"/>
          </w:tcPr>
          <w:p>
            <w:pPr>
              <w:spacing w:after="0" w:line="183" w:lineRule="exact"/>
              <w:rPr>
                <w:rFonts w:ascii="Arial" w:cs="Arial" w:eastAsia="Arial" w:hAnsi="Arial"/>
                <w:sz w:val="16"/>
                <w:szCs w:val="16"/>
                <w:color w:val="0000EE"/>
                <w:w w:val="91"/>
              </w:rPr>
            </w:pPr>
            <w:hyperlink r:id="rId31">
              <w:r>
                <w:rPr>
                  <w:rFonts w:ascii="Arial" w:cs="Arial" w:eastAsia="Arial" w:hAnsi="Arial"/>
                  <w:sz w:val="16"/>
                  <w:szCs w:val="16"/>
                  <w:color w:val="0000EE"/>
                  <w:w w:val="91"/>
                </w:rPr>
                <w:t>among Caesars Resort Collection, LLC, the subsidiary guarantors</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tcBorders>
              <w:bottom w:val="single" w:sz="8" w:color="0000EE"/>
            </w:tcBorders>
            <w:gridSpan w:val="13"/>
          </w:tcPr>
          <w:p>
            <w:pPr>
              <w:spacing w:after="0" w:line="183" w:lineRule="exact"/>
              <w:rPr>
                <w:rFonts w:ascii="Arial" w:cs="Arial" w:eastAsia="Arial" w:hAnsi="Arial"/>
                <w:sz w:val="16"/>
                <w:szCs w:val="16"/>
                <w:color w:val="0000EE"/>
                <w:w w:val="91"/>
              </w:rPr>
            </w:pPr>
            <w:hyperlink r:id="rId31">
              <w:r>
                <w:rPr>
                  <w:rFonts w:ascii="Arial" w:cs="Arial" w:eastAsia="Arial" w:hAnsi="Arial"/>
                  <w:sz w:val="16"/>
                  <w:szCs w:val="16"/>
                  <w:color w:val="0000EE"/>
                  <w:w w:val="91"/>
                </w:rPr>
                <w:t>party thereto, CRC Finco, Inc. and Deutsche Bank Trust</w:t>
              </w:r>
            </w:hyperlink>
          </w:p>
        </w:tc>
        <w:tc>
          <w:tcPr>
            <w:tcW w:w="6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1">
              <w:r>
                <w:rPr>
                  <w:rFonts w:ascii="Arial" w:cs="Arial" w:eastAsia="Arial" w:hAnsi="Arial"/>
                  <w:sz w:val="16"/>
                  <w:szCs w:val="16"/>
                  <w:color w:val="0000EE"/>
                </w:rPr>
                <w:t>Company Americas, as trustee.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EE"/>
            </w:tcBorders>
            <w:gridSpan w:val="33"/>
          </w:tcPr>
          <w:p>
            <w:pPr>
              <w:spacing w:after="0"/>
              <w:rPr>
                <w:rFonts w:ascii="Arial" w:cs="Arial" w:eastAsia="Arial" w:hAnsi="Arial"/>
                <w:sz w:val="16"/>
                <w:szCs w:val="16"/>
                <w:color w:val="0000EE"/>
                <w:w w:val="90"/>
              </w:rPr>
            </w:pPr>
            <w:hyperlink r:id="rId32">
              <w:r>
                <w:rPr>
                  <w:rFonts w:ascii="Arial" w:cs="Arial" w:eastAsia="Arial" w:hAnsi="Arial"/>
                  <w:sz w:val="16"/>
                  <w:szCs w:val="16"/>
                  <w:color w:val="0000EE"/>
                  <w:w w:val="90"/>
                </w:rPr>
                <w:t>Credit Agreement, dated as of December 22, 2017, by and among</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EE"/>
            </w:tcBorders>
            <w:gridSpan w:val="33"/>
          </w:tcPr>
          <w:p>
            <w:pPr>
              <w:spacing w:after="0" w:line="183" w:lineRule="exact"/>
              <w:rPr>
                <w:rFonts w:ascii="Arial" w:cs="Arial" w:eastAsia="Arial" w:hAnsi="Arial"/>
                <w:sz w:val="16"/>
                <w:szCs w:val="16"/>
                <w:color w:val="0000EE"/>
                <w:w w:val="92"/>
              </w:rPr>
            </w:pPr>
            <w:hyperlink r:id="rId32">
              <w:r>
                <w:rPr>
                  <w:rFonts w:ascii="Arial" w:cs="Arial" w:eastAsia="Arial" w:hAnsi="Arial"/>
                  <w:sz w:val="16"/>
                  <w:szCs w:val="16"/>
                  <w:color w:val="0000EE"/>
                  <w:w w:val="92"/>
                </w:rPr>
                <w:t>Caesars Resort Collection, LLC, the other borrowers from time to</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32">
              <w:r>
                <w:rPr>
                  <w:rFonts w:ascii="Arial" w:cs="Arial" w:eastAsia="Arial" w:hAnsi="Arial"/>
                  <w:sz w:val="16"/>
                  <w:szCs w:val="16"/>
                  <w:color w:val="0000EE"/>
                  <w:w w:val="91"/>
                </w:rPr>
                <w:t>time party thereto, the lenders party thereto, and Credit Suisse,</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2">
              <w:r>
                <w:rPr>
                  <w:rFonts w:ascii="Arial" w:cs="Arial" w:eastAsia="Arial" w:hAnsi="Arial"/>
                  <w:sz w:val="16"/>
                  <w:szCs w:val="16"/>
                  <w:color w:val="0000EE"/>
                </w:rPr>
                <w:t>AG, Cayman Islands Branch, as administrative agent.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EE"/>
            </w:tcBorders>
            <w:gridSpan w:val="30"/>
          </w:tcPr>
          <w:p>
            <w:pPr>
              <w:spacing w:after="0"/>
              <w:rPr>
                <w:rFonts w:ascii="Arial" w:cs="Arial" w:eastAsia="Arial" w:hAnsi="Arial"/>
                <w:sz w:val="16"/>
                <w:szCs w:val="16"/>
                <w:color w:val="0000EE"/>
                <w:w w:val="91"/>
              </w:rPr>
            </w:pPr>
            <w:hyperlink r:id="rId33">
              <w:r>
                <w:rPr>
                  <w:rFonts w:ascii="Arial" w:cs="Arial" w:eastAsia="Arial" w:hAnsi="Arial"/>
                  <w:sz w:val="16"/>
                  <w:szCs w:val="16"/>
                  <w:color w:val="0000EE"/>
                  <w:w w:val="91"/>
                </w:rPr>
                <w:t>Escrow Agreement, dated October 16, 2017, by and among CRC</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3">
              <w:r>
                <w:rPr>
                  <w:rFonts w:ascii="Arial" w:cs="Arial" w:eastAsia="Arial" w:hAnsi="Arial"/>
                  <w:sz w:val="16"/>
                  <w:szCs w:val="16"/>
                  <w:color w:val="0000EE"/>
                </w:rPr>
                <w:t>Escrow Issuer, LLC, CRC Finco, Inc., Deutsche Bank Trust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EE"/>
            </w:tcBorders>
            <w:gridSpan w:val="27"/>
          </w:tcPr>
          <w:p>
            <w:pPr>
              <w:spacing w:after="0" w:line="183" w:lineRule="exact"/>
              <w:rPr>
                <w:rFonts w:ascii="Arial" w:cs="Arial" w:eastAsia="Arial" w:hAnsi="Arial"/>
                <w:sz w:val="16"/>
                <w:szCs w:val="16"/>
                <w:color w:val="0000EE"/>
                <w:w w:val="90"/>
              </w:rPr>
            </w:pPr>
            <w:hyperlink r:id="rId33">
              <w:r>
                <w:rPr>
                  <w:rFonts w:ascii="Arial" w:cs="Arial" w:eastAsia="Arial" w:hAnsi="Arial"/>
                  <w:sz w:val="16"/>
                  <w:szCs w:val="16"/>
                  <w:color w:val="0000EE"/>
                  <w:w w:val="90"/>
                </w:rPr>
                <w:t>Company Americas, as escrow agent and Deutsche Bank Trust</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3">
              <w:r>
                <w:rPr>
                  <w:rFonts w:ascii="Arial" w:cs="Arial" w:eastAsia="Arial" w:hAnsi="Arial"/>
                  <w:sz w:val="16"/>
                  <w:szCs w:val="16"/>
                  <w:color w:val="0000EE"/>
                </w:rPr>
                <w:t>Company Americas, as trustee.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34"/>
          </w:tcPr>
          <w:p>
            <w:pPr>
              <w:spacing w:after="0"/>
              <w:rPr>
                <w:rFonts w:ascii="Arial" w:cs="Arial" w:eastAsia="Arial" w:hAnsi="Arial"/>
                <w:sz w:val="16"/>
                <w:szCs w:val="16"/>
                <w:color w:val="0000EE"/>
                <w:w w:val="92"/>
              </w:rPr>
            </w:pPr>
            <w:hyperlink r:id="rId34">
              <w:r>
                <w:rPr>
                  <w:rFonts w:ascii="Arial" w:cs="Arial" w:eastAsia="Arial" w:hAnsi="Arial"/>
                  <w:sz w:val="16"/>
                  <w:szCs w:val="16"/>
                  <w:color w:val="0000EE"/>
                  <w:w w:val="92"/>
                </w:rPr>
                <w:t>Third Amended and Restated Shared Services Agreement, dated</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22"/>
          </w:tcPr>
          <w:p>
            <w:pPr>
              <w:spacing w:after="0" w:line="183" w:lineRule="exact"/>
              <w:rPr>
                <w:rFonts w:ascii="Arial" w:cs="Arial" w:eastAsia="Arial" w:hAnsi="Arial"/>
                <w:sz w:val="16"/>
                <w:szCs w:val="16"/>
                <w:color w:val="0000EE"/>
                <w:w w:val="90"/>
              </w:rPr>
            </w:pPr>
            <w:hyperlink r:id="rId34">
              <w:r>
                <w:rPr>
                  <w:rFonts w:ascii="Arial" w:cs="Arial" w:eastAsia="Arial" w:hAnsi="Arial"/>
                  <w:sz w:val="16"/>
                  <w:szCs w:val="16"/>
                  <w:color w:val="0000EE"/>
                  <w:w w:val="90"/>
                </w:rPr>
                <w:t>as of October 11, 2013, by and among Caesars Entertainment</w:t>
              </w:r>
            </w:hyperlink>
          </w:p>
        </w:tc>
        <w:tc>
          <w:tcPr>
            <w:tcW w:w="180" w:type="dxa"/>
            <w:vAlign w:val="bottom"/>
            <w:tcBorders>
              <w:top w:val="single" w:sz="8" w:color="0000EE"/>
            </w:tcBorders>
            <w:gridSpan w:val="6"/>
          </w:tcPr>
          <w:p>
            <w:pPr>
              <w:spacing w:after="0"/>
              <w:rPr>
                <w:sz w:val="15"/>
                <w:szCs w:val="15"/>
                <w:color w:val="auto"/>
              </w:rPr>
            </w:pPr>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4">
              <w:r>
                <w:rPr>
                  <w:rFonts w:ascii="Arial" w:cs="Arial" w:eastAsia="Arial" w:hAnsi="Arial"/>
                  <w:sz w:val="16"/>
                  <w:szCs w:val="16"/>
                  <w:color w:val="0000EE"/>
                </w:rPr>
                <w:t>Operating Company, Inc., Caesars Entertainment Resort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bottom w:val="single" w:sz="8" w:color="0000EE"/>
            </w:tcBorders>
            <w:gridSpan w:val="21"/>
          </w:tcPr>
          <w:p>
            <w:pPr>
              <w:spacing w:after="0" w:line="183" w:lineRule="exact"/>
              <w:rPr>
                <w:rFonts w:ascii="Arial" w:cs="Arial" w:eastAsia="Arial" w:hAnsi="Arial"/>
                <w:sz w:val="16"/>
                <w:szCs w:val="16"/>
                <w:color w:val="0000EE"/>
                <w:w w:val="90"/>
              </w:rPr>
            </w:pPr>
            <w:hyperlink r:id="rId34">
              <w:r>
                <w:rPr>
                  <w:rFonts w:ascii="Arial" w:cs="Arial" w:eastAsia="Arial" w:hAnsi="Arial"/>
                  <w:sz w:val="16"/>
                  <w:szCs w:val="16"/>
                  <w:color w:val="0000EE"/>
                  <w:w w:val="90"/>
                </w:rPr>
                <w:t>Properties, LLC, the Casino Resort Borrowers, Caesars Linq,</w:t>
              </w:r>
            </w:hyperlink>
          </w:p>
        </w:tc>
        <w:tc>
          <w:tcPr>
            <w:tcW w:w="3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bottom w:val="single" w:sz="8" w:color="0000EE"/>
            </w:tcBorders>
            <w:gridSpan w:val="6"/>
          </w:tcPr>
          <w:p>
            <w:pPr>
              <w:spacing w:after="0" w:line="183" w:lineRule="exact"/>
              <w:rPr>
                <w:rFonts w:ascii="Arial" w:cs="Arial" w:eastAsia="Arial" w:hAnsi="Arial"/>
                <w:sz w:val="16"/>
                <w:szCs w:val="16"/>
                <w:color w:val="0000EE"/>
                <w:w w:val="92"/>
              </w:rPr>
            </w:pPr>
            <w:hyperlink r:id="rId34">
              <w:r>
                <w:rPr>
                  <w:rFonts w:ascii="Arial" w:cs="Arial" w:eastAsia="Arial" w:hAnsi="Arial"/>
                  <w:sz w:val="16"/>
                  <w:szCs w:val="16"/>
                  <w:color w:val="0000EE"/>
                  <w:w w:val="92"/>
                </w:rPr>
                <w:t>LLC and Caesars Octavius, LLC.</w:t>
              </w:r>
            </w:hyperlink>
          </w:p>
        </w:tc>
        <w:tc>
          <w:tcPr>
            <w:tcW w:w="21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EE"/>
            </w:tcBorders>
            <w:gridSpan w:val="33"/>
          </w:tcPr>
          <w:p>
            <w:pPr>
              <w:spacing w:after="0"/>
              <w:rPr>
                <w:rFonts w:ascii="Arial" w:cs="Arial" w:eastAsia="Arial" w:hAnsi="Arial"/>
                <w:sz w:val="16"/>
                <w:szCs w:val="16"/>
                <w:color w:val="0000EE"/>
                <w:w w:val="93"/>
              </w:rPr>
            </w:pPr>
            <w:hyperlink r:id="rId35">
              <w:r>
                <w:rPr>
                  <w:rFonts w:ascii="Arial" w:cs="Arial" w:eastAsia="Arial" w:hAnsi="Arial"/>
                  <w:sz w:val="16"/>
                  <w:szCs w:val="16"/>
                  <w:color w:val="0000EE"/>
                  <w:w w:val="93"/>
                </w:rPr>
                <w:t>Amended and Restated Limited Liability Company Agreement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r:id="rId35">
              <w:r>
                <w:rPr>
                  <w:rFonts w:ascii="Arial" w:cs="Arial" w:eastAsia="Arial" w:hAnsi="Arial"/>
                  <w:sz w:val="16"/>
                  <w:szCs w:val="16"/>
                  <w:color w:val="0000EE"/>
                  <w:w w:val="90"/>
                </w:rPr>
                <w:t>Caesars Enterprise Services, LLC.</w:t>
              </w:r>
            </w:hyperlink>
          </w:p>
        </w:tc>
        <w:tc>
          <w:tcPr>
            <w:tcW w:w="20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†10.5</w:t>
            </w:r>
          </w:p>
        </w:tc>
        <w:tc>
          <w:tcPr>
            <w:tcW w:w="20" w:type="dxa"/>
            <w:vAlign w:val="bottom"/>
          </w:tcPr>
          <w:p>
            <w:pPr>
              <w:spacing w:after="0"/>
              <w:rPr>
                <w:sz w:val="24"/>
                <w:szCs w:val="24"/>
                <w:color w:val="auto"/>
              </w:rPr>
            </w:pPr>
          </w:p>
        </w:tc>
        <w:tc>
          <w:tcPr>
            <w:tcW w:w="3480" w:type="dxa"/>
            <w:vAlign w:val="bottom"/>
            <w:tcBorders>
              <w:bottom w:val="single" w:sz="8" w:color="0000EE"/>
            </w:tcBorders>
            <w:gridSpan w:val="10"/>
          </w:tcPr>
          <w:p>
            <w:pPr>
              <w:spacing w:after="0"/>
              <w:rPr>
                <w:rFonts w:ascii="Arial" w:cs="Arial" w:eastAsia="Arial" w:hAnsi="Arial"/>
                <w:sz w:val="16"/>
                <w:szCs w:val="16"/>
                <w:color w:val="0000EE"/>
                <w:w w:val="89"/>
              </w:rPr>
            </w:pPr>
            <w:hyperlink r:id="rId36">
              <w:r>
                <w:rPr>
                  <w:rFonts w:ascii="Arial" w:cs="Arial" w:eastAsia="Arial" w:hAnsi="Arial"/>
                  <w:sz w:val="16"/>
                  <w:szCs w:val="16"/>
                  <w:color w:val="0000EE"/>
                  <w:w w:val="89"/>
                </w:rPr>
                <w:t>Purchase and Sale Agreement by and between Vegas</w:t>
              </w:r>
            </w:hyperlink>
          </w:p>
        </w:tc>
        <w:tc>
          <w:tcPr>
            <w:tcW w:w="8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bottom w:val="single" w:sz="8" w:color="0000EE"/>
            </w:tcBorders>
            <w:gridSpan w:val="22"/>
          </w:tcPr>
          <w:p>
            <w:pPr>
              <w:spacing w:after="0" w:line="183" w:lineRule="exact"/>
              <w:rPr>
                <w:rFonts w:ascii="Arial" w:cs="Arial" w:eastAsia="Arial" w:hAnsi="Arial"/>
                <w:sz w:val="16"/>
                <w:szCs w:val="16"/>
                <w:color w:val="0000EE"/>
                <w:w w:val="94"/>
              </w:rPr>
            </w:pPr>
            <w:hyperlink r:id="rId36">
              <w:r>
                <w:rPr>
                  <w:rFonts w:ascii="Arial" w:cs="Arial" w:eastAsia="Arial" w:hAnsi="Arial"/>
                  <w:sz w:val="16"/>
                  <w:szCs w:val="16"/>
                  <w:color w:val="0000EE"/>
                  <w:w w:val="94"/>
                </w:rPr>
                <w:t>Development LLC, a Delaware limited liability company and</w:t>
              </w:r>
            </w:hyperlink>
          </w:p>
        </w:tc>
        <w:tc>
          <w:tcPr>
            <w:tcW w:w="3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EE"/>
            </w:tcBorders>
            <w:gridSpan w:val="26"/>
          </w:tcPr>
          <w:p>
            <w:pPr>
              <w:spacing w:after="0" w:line="183" w:lineRule="exact"/>
              <w:rPr>
                <w:rFonts w:ascii="Arial" w:cs="Arial" w:eastAsia="Arial" w:hAnsi="Arial"/>
                <w:sz w:val="16"/>
                <w:szCs w:val="16"/>
                <w:color w:val="0000EE"/>
                <w:w w:val="94"/>
              </w:rPr>
            </w:pPr>
            <w:hyperlink r:id="rId36">
              <w:r>
                <w:rPr>
                  <w:rFonts w:ascii="Arial" w:cs="Arial" w:eastAsia="Arial" w:hAnsi="Arial"/>
                  <w:sz w:val="16"/>
                  <w:szCs w:val="16"/>
                  <w:color w:val="0000EE"/>
                  <w:w w:val="94"/>
                </w:rPr>
                <w:t>Eastside Convention Center, LLC, a Delaware limited liability</w:t>
              </w:r>
            </w:hyperlink>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Borders>
              <w:bottom w:val="single" w:sz="8" w:color="0000EE"/>
            </w:tcBorders>
            <w:gridSpan w:val="11"/>
          </w:tcPr>
          <w:p>
            <w:pPr>
              <w:spacing w:after="0" w:line="183" w:lineRule="exact"/>
              <w:rPr>
                <w:rFonts w:ascii="Arial" w:cs="Arial" w:eastAsia="Arial" w:hAnsi="Arial"/>
                <w:sz w:val="16"/>
                <w:szCs w:val="16"/>
                <w:color w:val="0000EE"/>
                <w:w w:val="91"/>
              </w:rPr>
            </w:pPr>
            <w:hyperlink r:id="rId36">
              <w:r>
                <w:rPr>
                  <w:rFonts w:ascii="Arial" w:cs="Arial" w:eastAsia="Arial" w:hAnsi="Arial"/>
                  <w:sz w:val="16"/>
                  <w:szCs w:val="16"/>
                  <w:color w:val="0000EE"/>
                  <w:w w:val="91"/>
                </w:rPr>
                <w:t>company as Buyer, effective date November 29, 2017.</w:t>
              </w:r>
            </w:hyperlink>
          </w:p>
        </w:tc>
        <w:tc>
          <w:tcPr>
            <w:tcW w:w="78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†10.6</w:t>
            </w:r>
          </w:p>
        </w:tc>
        <w:tc>
          <w:tcPr>
            <w:tcW w:w="20" w:type="dxa"/>
            <w:vAlign w:val="bottom"/>
          </w:tcPr>
          <w:p>
            <w:pPr>
              <w:spacing w:after="0"/>
              <w:rPr>
                <w:sz w:val="24"/>
                <w:szCs w:val="24"/>
                <w:color w:val="auto"/>
              </w:rPr>
            </w:pPr>
          </w:p>
        </w:tc>
        <w:tc>
          <w:tcPr>
            <w:tcW w:w="4060" w:type="dxa"/>
            <w:vAlign w:val="bottom"/>
            <w:tcBorders>
              <w:bottom w:val="single" w:sz="8" w:color="0000EE"/>
            </w:tcBorders>
            <w:gridSpan w:val="25"/>
          </w:tcPr>
          <w:p>
            <w:pPr>
              <w:spacing w:after="0"/>
              <w:rPr>
                <w:rFonts w:ascii="Arial" w:cs="Arial" w:eastAsia="Arial" w:hAnsi="Arial"/>
                <w:sz w:val="16"/>
                <w:szCs w:val="16"/>
                <w:color w:val="0000EE"/>
                <w:w w:val="89"/>
              </w:rPr>
            </w:pPr>
            <w:hyperlink r:id="rId37">
              <w:r>
                <w:rPr>
                  <w:rFonts w:ascii="Arial" w:cs="Arial" w:eastAsia="Arial" w:hAnsi="Arial"/>
                  <w:sz w:val="16"/>
                  <w:szCs w:val="16"/>
                  <w:color w:val="0000EE"/>
                  <w:w w:val="89"/>
                </w:rPr>
                <w:t>Amended and Restated Lease by and among Claudine Propco,</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37">
              <w:r>
                <w:rPr>
                  <w:rFonts w:ascii="Arial" w:cs="Arial" w:eastAsia="Arial" w:hAnsi="Arial"/>
                  <w:sz w:val="16"/>
                  <w:szCs w:val="16"/>
                  <w:color w:val="0000EE"/>
                </w:rPr>
                <w:t>LLC, a Delaware limited liability company, and Harrah’s Las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EE"/>
            </w:tcBorders>
            <w:gridSpan w:val="33"/>
          </w:tcPr>
          <w:p>
            <w:pPr>
              <w:spacing w:after="0" w:line="183" w:lineRule="exact"/>
              <w:rPr>
                <w:rFonts w:ascii="Arial" w:cs="Arial" w:eastAsia="Arial" w:hAnsi="Arial"/>
                <w:sz w:val="16"/>
                <w:szCs w:val="16"/>
                <w:color w:val="0000EE"/>
                <w:w w:val="92"/>
              </w:rPr>
            </w:pPr>
            <w:hyperlink r:id="rId37">
              <w:r>
                <w:rPr>
                  <w:rFonts w:ascii="Arial" w:cs="Arial" w:eastAsia="Arial" w:hAnsi="Arial"/>
                  <w:sz w:val="16"/>
                  <w:szCs w:val="16"/>
                  <w:color w:val="0000EE"/>
                  <w:w w:val="92"/>
                </w:rPr>
                <w:t>Vegas, LLC, a Nevada limited liability company, dated December</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0000EE"/>
            </w:tcBorders>
          </w:tcPr>
          <w:p>
            <w:pPr>
              <w:spacing w:after="0" w:line="183" w:lineRule="exact"/>
              <w:rPr>
                <w:rFonts w:ascii="Arial" w:cs="Arial" w:eastAsia="Arial" w:hAnsi="Arial"/>
                <w:sz w:val="16"/>
                <w:szCs w:val="16"/>
                <w:color w:val="0000EE"/>
                <w:w w:val="89"/>
              </w:rPr>
            </w:pPr>
            <w:hyperlink r:id="rId37">
              <w:r>
                <w:rPr>
                  <w:rFonts w:ascii="Arial" w:cs="Arial" w:eastAsia="Arial" w:hAnsi="Arial"/>
                  <w:sz w:val="16"/>
                  <w:szCs w:val="16"/>
                  <w:color w:val="0000EE"/>
                  <w:w w:val="89"/>
                </w:rPr>
                <w:t>22, 2017.</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†10.7</w:t>
            </w:r>
          </w:p>
        </w:tc>
        <w:tc>
          <w:tcPr>
            <w:tcW w:w="20" w:type="dxa"/>
            <w:vAlign w:val="bottom"/>
          </w:tcPr>
          <w:p>
            <w:pPr>
              <w:spacing w:after="0"/>
              <w:rPr>
                <w:sz w:val="24"/>
                <w:szCs w:val="24"/>
                <w:color w:val="auto"/>
              </w:rPr>
            </w:pPr>
          </w:p>
        </w:tc>
        <w:tc>
          <w:tcPr>
            <w:tcW w:w="4260" w:type="dxa"/>
            <w:vAlign w:val="bottom"/>
            <w:tcBorders>
              <w:bottom w:val="single" w:sz="8" w:color="0000EE"/>
            </w:tcBorders>
            <w:gridSpan w:val="31"/>
          </w:tcPr>
          <w:p>
            <w:pPr>
              <w:spacing w:after="0"/>
              <w:rPr>
                <w:rFonts w:ascii="Arial" w:cs="Arial" w:eastAsia="Arial" w:hAnsi="Arial"/>
                <w:sz w:val="16"/>
                <w:szCs w:val="16"/>
                <w:color w:val="0000EE"/>
                <w:w w:val="91"/>
              </w:rPr>
            </w:pPr>
            <w:hyperlink r:id="rId38">
              <w:r>
                <w:rPr>
                  <w:rFonts w:ascii="Arial" w:cs="Arial" w:eastAsia="Arial" w:hAnsi="Arial"/>
                  <w:sz w:val="16"/>
                  <w:szCs w:val="16"/>
                  <w:color w:val="0000EE"/>
                  <w:w w:val="91"/>
                </w:rPr>
                <w:t>Put-Call Right Agreement dated as of December 22, 2017 by and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Borders>
              <w:bottom w:val="single" w:sz="8" w:color="0000EE"/>
            </w:tcBorders>
            <w:gridSpan w:val="17"/>
          </w:tcPr>
          <w:p>
            <w:pPr>
              <w:spacing w:after="0" w:line="183" w:lineRule="exact"/>
              <w:rPr>
                <w:rFonts w:ascii="Arial" w:cs="Arial" w:eastAsia="Arial" w:hAnsi="Arial"/>
                <w:sz w:val="16"/>
                <w:szCs w:val="16"/>
                <w:color w:val="0000EE"/>
                <w:w w:val="94"/>
              </w:rPr>
            </w:pPr>
            <w:hyperlink r:id="rId38">
              <w:r>
                <w:rPr>
                  <w:rFonts w:ascii="Arial" w:cs="Arial" w:eastAsia="Arial" w:hAnsi="Arial"/>
                  <w:sz w:val="16"/>
                  <w:szCs w:val="16"/>
                  <w:color w:val="0000EE"/>
                  <w:w w:val="94"/>
                </w:rPr>
                <w:t>among Claudine Propco, LLC, a Delaware limited liability</w:t>
              </w:r>
            </w:hyperlink>
          </w:p>
        </w:tc>
        <w:tc>
          <w:tcPr>
            <w:tcW w:w="5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EE"/>
            </w:tcBorders>
            <w:gridSpan w:val="32"/>
          </w:tcPr>
          <w:p>
            <w:pPr>
              <w:spacing w:after="0" w:line="183" w:lineRule="exact"/>
              <w:rPr>
                <w:rFonts w:ascii="Arial" w:cs="Arial" w:eastAsia="Arial" w:hAnsi="Arial"/>
                <w:sz w:val="16"/>
                <w:szCs w:val="16"/>
                <w:color w:val="0000EE"/>
                <w:w w:val="91"/>
              </w:rPr>
            </w:pPr>
            <w:hyperlink r:id="rId38">
              <w:r>
                <w:rPr>
                  <w:rFonts w:ascii="Arial" w:cs="Arial" w:eastAsia="Arial" w:hAnsi="Arial"/>
                  <w:sz w:val="16"/>
                  <w:szCs w:val="16"/>
                  <w:color w:val="0000EE"/>
                  <w:w w:val="91"/>
                </w:rPr>
                <w:t>company and Vegas Development Land Owner, LLC, a Delaware</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bottom w:val="single" w:sz="8" w:color="0000EE"/>
            </w:tcBorders>
            <w:gridSpan w:val="30"/>
          </w:tcPr>
          <w:p>
            <w:pPr>
              <w:spacing w:after="0" w:line="183" w:lineRule="exact"/>
              <w:rPr>
                <w:rFonts w:ascii="Arial" w:cs="Arial" w:eastAsia="Arial" w:hAnsi="Arial"/>
                <w:sz w:val="16"/>
                <w:szCs w:val="16"/>
                <w:color w:val="0000EE"/>
                <w:w w:val="94"/>
              </w:rPr>
            </w:pPr>
            <w:hyperlink r:id="rId38">
              <w:r>
                <w:rPr>
                  <w:rFonts w:ascii="Arial" w:cs="Arial" w:eastAsia="Arial" w:hAnsi="Arial"/>
                  <w:sz w:val="16"/>
                  <w:szCs w:val="16"/>
                  <w:color w:val="0000EE"/>
                  <w:w w:val="94"/>
                </w:rPr>
                <w:t>limited liability company and 3535 LV Newco, LLC, a Delaware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bottom w:val="single" w:sz="8" w:color="0000EE"/>
            </w:tcBorders>
            <w:gridSpan w:val="4"/>
          </w:tcPr>
          <w:p>
            <w:pPr>
              <w:spacing w:after="0" w:line="183" w:lineRule="exact"/>
              <w:rPr>
                <w:rFonts w:ascii="Arial" w:cs="Arial" w:eastAsia="Arial" w:hAnsi="Arial"/>
                <w:sz w:val="16"/>
                <w:szCs w:val="16"/>
                <w:color w:val="0000EE"/>
                <w:w w:val="96"/>
              </w:rPr>
            </w:pPr>
            <w:hyperlink r:id="rId38">
              <w:r>
                <w:rPr>
                  <w:rFonts w:ascii="Arial" w:cs="Arial" w:eastAsia="Arial" w:hAnsi="Arial"/>
                  <w:sz w:val="16"/>
                  <w:szCs w:val="16"/>
                  <w:color w:val="0000EE"/>
                  <w:w w:val="96"/>
                </w:rPr>
                <w:t>limited liability company.</w:t>
              </w:r>
            </w:hyperlink>
          </w:p>
        </w:tc>
        <w:tc>
          <w:tcPr>
            <w:tcW w:w="264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†10.8</w:t>
            </w:r>
          </w:p>
        </w:tc>
        <w:tc>
          <w:tcPr>
            <w:tcW w:w="20" w:type="dxa"/>
            <w:vAlign w:val="bottom"/>
          </w:tcPr>
          <w:p>
            <w:pPr>
              <w:spacing w:after="0"/>
              <w:rPr>
                <w:sz w:val="24"/>
                <w:szCs w:val="24"/>
                <w:color w:val="auto"/>
              </w:rPr>
            </w:pPr>
          </w:p>
        </w:tc>
        <w:tc>
          <w:tcPr>
            <w:tcW w:w="3980" w:type="dxa"/>
            <w:vAlign w:val="bottom"/>
            <w:tcBorders>
              <w:bottom w:val="single" w:sz="8" w:color="0000EE"/>
            </w:tcBorders>
            <w:gridSpan w:val="21"/>
          </w:tcPr>
          <w:p>
            <w:pPr>
              <w:spacing w:after="0"/>
              <w:rPr>
                <w:rFonts w:ascii="Arial" w:cs="Arial" w:eastAsia="Arial" w:hAnsi="Arial"/>
                <w:sz w:val="16"/>
                <w:szCs w:val="16"/>
                <w:color w:val="0000EE"/>
                <w:w w:val="89"/>
              </w:rPr>
            </w:pPr>
            <w:hyperlink r:id="rId39">
              <w:r>
                <w:rPr>
                  <w:rFonts w:ascii="Arial" w:cs="Arial" w:eastAsia="Arial" w:hAnsi="Arial"/>
                  <w:sz w:val="16"/>
                  <w:szCs w:val="16"/>
                  <w:color w:val="0000EE"/>
                  <w:w w:val="89"/>
                </w:rPr>
                <w:t>Purchase and Sale Agreement, by and between, Harrah’s Las</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bottom w:val="single" w:sz="8" w:color="0000EE"/>
            </w:tcBorders>
            <w:gridSpan w:val="24"/>
          </w:tcPr>
          <w:p>
            <w:pPr>
              <w:spacing w:after="0" w:line="183" w:lineRule="exact"/>
              <w:rPr>
                <w:rFonts w:ascii="Arial" w:cs="Arial" w:eastAsia="Arial" w:hAnsi="Arial"/>
                <w:sz w:val="16"/>
                <w:szCs w:val="16"/>
                <w:color w:val="0000EE"/>
                <w:w w:val="91"/>
              </w:rPr>
            </w:pPr>
            <w:hyperlink r:id="rId39">
              <w:r>
                <w:rPr>
                  <w:rFonts w:ascii="Arial" w:cs="Arial" w:eastAsia="Arial" w:hAnsi="Arial"/>
                  <w:sz w:val="16"/>
                  <w:szCs w:val="16"/>
                  <w:color w:val="0000EE"/>
                  <w:w w:val="91"/>
                </w:rPr>
                <w:t>Vegas, LLC, as Seller, and Claudine Property Owner, LLC, as</w:t>
              </w:r>
            </w:hyperlink>
          </w:p>
        </w:tc>
        <w:tc>
          <w:tcPr>
            <w:tcW w:w="2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r:id="rId39">
              <w:r>
                <w:rPr>
                  <w:rFonts w:ascii="Arial" w:cs="Arial" w:eastAsia="Arial" w:hAnsi="Arial"/>
                  <w:sz w:val="16"/>
                  <w:szCs w:val="16"/>
                  <w:color w:val="0000EE"/>
                  <w:w w:val="90"/>
                </w:rPr>
                <w:t>Buyer, dated November 29, 2017.</w:t>
              </w:r>
            </w:hyperlink>
          </w:p>
        </w:tc>
        <w:tc>
          <w:tcPr>
            <w:tcW w:w="212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†10.9</w:t>
            </w:r>
          </w:p>
        </w:tc>
        <w:tc>
          <w:tcPr>
            <w:tcW w:w="20" w:type="dxa"/>
            <w:vAlign w:val="bottom"/>
          </w:tcPr>
          <w:p>
            <w:pPr>
              <w:spacing w:after="0"/>
              <w:rPr>
                <w:sz w:val="24"/>
                <w:szCs w:val="24"/>
                <w:color w:val="auto"/>
              </w:rPr>
            </w:pPr>
          </w:p>
        </w:tc>
        <w:tc>
          <w:tcPr>
            <w:tcW w:w="4320" w:type="dxa"/>
            <w:vAlign w:val="bottom"/>
            <w:gridSpan w:val="34"/>
          </w:tcPr>
          <w:p>
            <w:pPr>
              <w:spacing w:after="0"/>
              <w:rPr>
                <w:rFonts w:ascii="Arial" w:cs="Arial" w:eastAsia="Arial" w:hAnsi="Arial"/>
                <w:sz w:val="16"/>
                <w:szCs w:val="16"/>
                <w:color w:val="0000EE"/>
                <w:w w:val="97"/>
              </w:rPr>
            </w:pPr>
            <w:hyperlink r:id="rId40">
              <w:r>
                <w:rPr>
                  <w:rFonts w:ascii="Arial" w:cs="Arial" w:eastAsia="Arial" w:hAnsi="Arial"/>
                  <w:sz w:val="16"/>
                  <w:szCs w:val="16"/>
                  <w:color w:val="0000EE"/>
                  <w:w w:val="97"/>
                </w:rPr>
                <w:t>Guaranty of Lease dated December 22, 2017, by and between</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EE"/>
            </w:tcBorders>
            <w:gridSpan w:val="22"/>
          </w:tcPr>
          <w:p>
            <w:pPr>
              <w:spacing w:after="0" w:line="183" w:lineRule="exact"/>
              <w:rPr>
                <w:rFonts w:ascii="Arial" w:cs="Arial" w:eastAsia="Arial" w:hAnsi="Arial"/>
                <w:sz w:val="16"/>
                <w:szCs w:val="16"/>
                <w:color w:val="0000EE"/>
                <w:w w:val="95"/>
              </w:rPr>
            </w:pPr>
            <w:hyperlink r:id="rId40">
              <w:r>
                <w:rPr>
                  <w:rFonts w:ascii="Arial" w:cs="Arial" w:eastAsia="Arial" w:hAnsi="Arial"/>
                  <w:sz w:val="16"/>
                  <w:szCs w:val="16"/>
                  <w:color w:val="0000EE"/>
                  <w:w w:val="95"/>
                </w:rPr>
                <w:t>Caesars Resort Collection, LLC and Claudine Propco LLC.</w:t>
              </w:r>
            </w:hyperlink>
          </w:p>
        </w:tc>
        <w:tc>
          <w:tcPr>
            <w:tcW w:w="3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34"/>
            <w:vMerge w:val="restart"/>
          </w:tcPr>
          <w:p>
            <w:pPr>
              <w:spacing w:after="0"/>
              <w:rPr>
                <w:rFonts w:ascii="Arial" w:cs="Arial" w:eastAsia="Arial" w:hAnsi="Arial"/>
                <w:sz w:val="16"/>
                <w:szCs w:val="16"/>
                <w:color w:val="0000EE"/>
                <w:w w:val="92"/>
              </w:rPr>
            </w:pPr>
            <w:hyperlink r:id="rId41">
              <w:r>
                <w:rPr>
                  <w:rFonts w:ascii="Arial" w:cs="Arial" w:eastAsia="Arial" w:hAnsi="Arial"/>
                  <w:sz w:val="16"/>
                  <w:szCs w:val="16"/>
                  <w:color w:val="0000EE"/>
                  <w:w w:val="92"/>
                </w:rPr>
                <w:t>Second Amended and Restated Omnibus License and Enterprise</w:t>
              </w:r>
            </w:hyperlink>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20" w:type="dxa"/>
            <w:vAlign w:val="bottom"/>
            <w:gridSpan w:val="3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bottom w:val="single" w:sz="8" w:color="0000EE"/>
            </w:tcBorders>
            <w:gridSpan w:val="31"/>
          </w:tcPr>
          <w:p>
            <w:pPr>
              <w:spacing w:after="0" w:line="183" w:lineRule="exact"/>
              <w:rPr>
                <w:rFonts w:ascii="Arial" w:cs="Arial" w:eastAsia="Arial" w:hAnsi="Arial"/>
                <w:sz w:val="16"/>
                <w:szCs w:val="16"/>
                <w:color w:val="0000EE"/>
                <w:w w:val="89"/>
              </w:rPr>
            </w:pPr>
            <w:hyperlink r:id="rId41">
              <w:r>
                <w:rPr>
                  <w:rFonts w:ascii="Arial" w:cs="Arial" w:eastAsia="Arial" w:hAnsi="Arial"/>
                  <w:sz w:val="16"/>
                  <w:szCs w:val="16"/>
                  <w:color w:val="0000EE"/>
                  <w:w w:val="89"/>
                </w:rPr>
                <w:t>Services Agreement, dated as of October 6, 2017, among Caesars</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bottom w:val="single" w:sz="8" w:color="0000EE"/>
            </w:tcBorders>
            <w:gridSpan w:val="16"/>
          </w:tcPr>
          <w:p>
            <w:pPr>
              <w:spacing w:after="0" w:line="183" w:lineRule="exact"/>
              <w:rPr>
                <w:rFonts w:ascii="Arial" w:cs="Arial" w:eastAsia="Arial" w:hAnsi="Arial"/>
                <w:sz w:val="16"/>
                <w:szCs w:val="16"/>
                <w:color w:val="0000EE"/>
                <w:w w:val="91"/>
              </w:rPr>
            </w:pPr>
            <w:hyperlink r:id="rId41">
              <w:r>
                <w:rPr>
                  <w:rFonts w:ascii="Arial" w:cs="Arial" w:eastAsia="Arial" w:hAnsi="Arial"/>
                  <w:sz w:val="16"/>
                  <w:szCs w:val="16"/>
                  <w:color w:val="0000EE"/>
                  <w:w w:val="91"/>
                </w:rPr>
                <w:t>Entertainment Operating Company, Inc., Caesars Growth</w:t>
              </w:r>
            </w:hyperlink>
          </w:p>
        </w:tc>
        <w:tc>
          <w:tcPr>
            <w:tcW w:w="5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41">
              <w:r>
                <w:rPr>
                  <w:rFonts w:ascii="Arial" w:cs="Arial" w:eastAsia="Arial" w:hAnsi="Arial"/>
                  <w:sz w:val="16"/>
                  <w:szCs w:val="16"/>
                  <w:color w:val="0000EE"/>
                  <w:w w:val="92"/>
                </w:rPr>
                <w:t>Properties Holdings, LLC, Caesars Entertainment Resort</w:t>
              </w:r>
            </w:hyperlink>
          </w:p>
        </w:tc>
        <w:tc>
          <w:tcPr>
            <w:tcW w:w="6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0000EE"/>
            </w:tcBorders>
            <w:gridSpan w:val="29"/>
          </w:tcPr>
          <w:p>
            <w:pPr>
              <w:spacing w:after="0" w:line="183" w:lineRule="exact"/>
              <w:rPr>
                <w:rFonts w:ascii="Arial" w:cs="Arial" w:eastAsia="Arial" w:hAnsi="Arial"/>
                <w:sz w:val="16"/>
                <w:szCs w:val="16"/>
                <w:color w:val="0000EE"/>
                <w:w w:val="91"/>
              </w:rPr>
            </w:pPr>
            <w:hyperlink r:id="rId41">
              <w:r>
                <w:rPr>
                  <w:rFonts w:ascii="Arial" w:cs="Arial" w:eastAsia="Arial" w:hAnsi="Arial"/>
                  <w:sz w:val="16"/>
                  <w:szCs w:val="16"/>
                  <w:color w:val="0000EE"/>
                  <w:w w:val="91"/>
                </w:rPr>
                <w:t>Properties LLC, Caesars License Company, LLC, Caesars World</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r:id="rId41">
              <w:r>
                <w:rPr>
                  <w:rFonts w:ascii="Arial" w:cs="Arial" w:eastAsia="Arial" w:hAnsi="Arial"/>
                  <w:sz w:val="16"/>
                  <w:szCs w:val="16"/>
                  <w:color w:val="0000EE"/>
                  <w:w w:val="91"/>
                </w:rPr>
                <w:t>LLC and Caesars Enterprise Services, LLC.</w:t>
              </w:r>
            </w:hyperlink>
          </w:p>
        </w:tc>
        <w:tc>
          <w:tcPr>
            <w:tcW w:w="146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14"/>
          </w:tcPr>
          <w:p>
            <w:pPr>
              <w:spacing w:after="0"/>
              <w:rPr>
                <w:rFonts w:ascii="Arial" w:cs="Arial" w:eastAsia="Arial" w:hAnsi="Arial"/>
                <w:sz w:val="16"/>
                <w:szCs w:val="16"/>
                <w:color w:val="0000EE"/>
                <w:w w:val="90"/>
              </w:rPr>
            </w:pPr>
            <w:hyperlink r:id="rId42">
              <w:r>
                <w:rPr>
                  <w:rFonts w:ascii="Arial" w:cs="Arial" w:eastAsia="Arial" w:hAnsi="Arial"/>
                  <w:sz w:val="16"/>
                  <w:szCs w:val="16"/>
                  <w:color w:val="0000EE"/>
                  <w:w w:val="90"/>
                </w:rPr>
                <w:t>Unit Purchase Agreement between the Persons Listed on</w:t>
              </w:r>
            </w:hyperlink>
          </w:p>
        </w:tc>
        <w:tc>
          <w:tcPr>
            <w:tcW w:w="6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34"/>
          </w:tcPr>
          <w:p>
            <w:pPr>
              <w:spacing w:after="0" w:line="183" w:lineRule="exact"/>
              <w:rPr>
                <w:rFonts w:ascii="Arial" w:cs="Arial" w:eastAsia="Arial" w:hAnsi="Arial"/>
                <w:sz w:val="16"/>
                <w:szCs w:val="16"/>
                <w:color w:val="0000EE"/>
              </w:rPr>
            </w:pPr>
            <w:hyperlink r:id="rId42">
              <w:r>
                <w:rPr>
                  <w:rFonts w:ascii="Arial" w:cs="Arial" w:eastAsia="Arial" w:hAnsi="Arial"/>
                  <w:sz w:val="16"/>
                  <w:szCs w:val="16"/>
                  <w:color w:val="0000EE"/>
                </w:rPr>
                <w:t>Schedule 1, Clairvest GP Manageco, Inc., Centaur Holdings,</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w w:val="90"/>
              </w:rPr>
            </w:pPr>
            <w:hyperlink r:id="rId42">
              <w:r>
                <w:rPr>
                  <w:rFonts w:ascii="Arial" w:cs="Arial" w:eastAsia="Arial" w:hAnsi="Arial"/>
                  <w:sz w:val="16"/>
                  <w:szCs w:val="16"/>
                  <w:color w:val="0000EE"/>
                  <w:w w:val="90"/>
                </w:rPr>
                <w:t>LLC, and Caesars Entertainment Corporation, dated as of</w:t>
              </w:r>
            </w:hyperlink>
          </w:p>
        </w:tc>
        <w:tc>
          <w:tcPr>
            <w:tcW w:w="200" w:type="dxa"/>
            <w:vAlign w:val="bottom"/>
            <w:tcBorders>
              <w:top w:val="single" w:sz="8" w:color="0000EE"/>
            </w:tcBorders>
            <w:gridSpan w:val="4"/>
          </w:tcPr>
          <w:p>
            <w:pPr>
              <w:spacing w:after="0"/>
              <w:rPr>
                <w:sz w:val="15"/>
                <w:szCs w:val="15"/>
                <w:color w:val="auto"/>
              </w:rPr>
            </w:pPr>
          </w:p>
        </w:tc>
        <w:tc>
          <w:tcPr>
            <w:tcW w:w="3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42">
              <w:r>
                <w:rPr>
                  <w:rFonts w:ascii="Arial" w:cs="Arial" w:eastAsia="Arial" w:hAnsi="Arial"/>
                  <w:sz w:val="16"/>
                  <w:szCs w:val="16"/>
                  <w:color w:val="0000EE"/>
                  <w:w w:val="91"/>
                </w:rPr>
                <w:t>November 16, 2017.</w:t>
              </w:r>
            </w:hyperlink>
          </w:p>
        </w:tc>
        <w:tc>
          <w:tcPr>
            <w:tcW w:w="298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34"/>
          </w:tcPr>
          <w:p>
            <w:pPr>
              <w:spacing w:after="0"/>
              <w:rPr>
                <w:rFonts w:ascii="Arial" w:cs="Arial" w:eastAsia="Arial" w:hAnsi="Arial"/>
                <w:sz w:val="16"/>
                <w:szCs w:val="16"/>
                <w:color w:val="0000EE"/>
                <w:w w:val="98"/>
              </w:rPr>
            </w:pPr>
            <w:hyperlink r:id="rId43">
              <w:r>
                <w:rPr>
                  <w:rFonts w:ascii="Arial" w:cs="Arial" w:eastAsia="Arial" w:hAnsi="Arial"/>
                  <w:sz w:val="16"/>
                  <w:szCs w:val="16"/>
                  <w:color w:val="0000EE"/>
                  <w:w w:val="98"/>
                </w:rPr>
                <w:t>Amendment to Unit Purchase Agreement, dated May 8, 2018,</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EE"/>
            </w:tcBorders>
            <w:gridSpan w:val="23"/>
          </w:tcPr>
          <w:p>
            <w:pPr>
              <w:spacing w:after="0" w:line="183" w:lineRule="exact"/>
              <w:rPr>
                <w:rFonts w:ascii="Arial" w:cs="Arial" w:eastAsia="Arial" w:hAnsi="Arial"/>
                <w:sz w:val="16"/>
                <w:szCs w:val="16"/>
                <w:color w:val="0000EE"/>
                <w:w w:val="92"/>
              </w:rPr>
            </w:pPr>
            <w:hyperlink r:id="rId43">
              <w:r>
                <w:rPr>
                  <w:rFonts w:ascii="Arial" w:cs="Arial" w:eastAsia="Arial" w:hAnsi="Arial"/>
                  <w:sz w:val="16"/>
                  <w:szCs w:val="16"/>
                  <w:color w:val="0000EE"/>
                  <w:w w:val="92"/>
                </w:rPr>
                <w:t>among Caesars Entertainment Corporation and Clairvest GP</w:t>
              </w:r>
            </w:hyperlink>
          </w:p>
        </w:tc>
        <w:tc>
          <w:tcPr>
            <w:tcW w:w="3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EE"/>
            </w:tcBorders>
            <w:gridSpan w:val="19"/>
          </w:tcPr>
          <w:p>
            <w:pPr>
              <w:spacing w:after="0" w:line="183" w:lineRule="exact"/>
              <w:rPr>
                <w:rFonts w:ascii="Arial" w:cs="Arial" w:eastAsia="Arial" w:hAnsi="Arial"/>
                <w:sz w:val="16"/>
                <w:szCs w:val="16"/>
                <w:color w:val="0000EE"/>
              </w:rPr>
            </w:pPr>
            <w:hyperlink r:id="rId43">
              <w:r>
                <w:rPr>
                  <w:rFonts w:ascii="Arial" w:cs="Arial" w:eastAsia="Arial" w:hAnsi="Arial"/>
                  <w:sz w:val="16"/>
                  <w:szCs w:val="16"/>
                  <w:color w:val="0000EE"/>
                </w:rPr>
                <w:t>Manageco, Inc.</w:t>
              </w:r>
            </w:hyperlink>
          </w:p>
        </w:tc>
        <w:tc>
          <w:tcPr>
            <w:tcW w:w="4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660"/>
              <w:spacing w:after="0"/>
              <w:rPr>
                <w:sz w:val="20"/>
                <w:szCs w:val="20"/>
                <w:color w:val="auto"/>
              </w:rPr>
            </w:pPr>
            <w:r>
              <w:rPr>
                <w:rFonts w:ascii="Arial" w:cs="Arial" w:eastAsia="Arial" w:hAnsi="Arial"/>
                <w:sz w:val="16"/>
                <w:szCs w:val="16"/>
                <w:b w:val="1"/>
                <w:bCs w:val="1"/>
                <w:color w:val="auto"/>
              </w:rPr>
              <w:t>Incorporated by Reference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+Included</w:t>
            </w: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Herewith</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Form</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Period Ending</w:t>
            </w: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Exhibit</w:t>
            </w:r>
          </w:p>
        </w:tc>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7"/>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12/22/2017</w:t>
            </w:r>
          </w:p>
        </w:tc>
        <w:tc>
          <w:tcPr>
            <w:tcW w:w="0" w:type="dxa"/>
            <w:vAlign w:val="bottom"/>
          </w:tcPr>
          <w:p>
            <w:pPr>
              <w:spacing w:after="0"/>
              <w:rPr>
                <w:sz w:val="1"/>
                <w:szCs w:val="1"/>
                <w:color w:val="auto"/>
              </w:rPr>
            </w:pPr>
          </w:p>
        </w:tc>
      </w:tr>
      <w:tr>
        <w:trPr>
          <w:trHeight w:val="986"/>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12/22/2017</w:t>
            </w:r>
          </w:p>
        </w:tc>
        <w:tc>
          <w:tcPr>
            <w:tcW w:w="0" w:type="dxa"/>
            <w:vAlign w:val="bottom"/>
          </w:tcPr>
          <w:p>
            <w:pPr>
              <w:spacing w:after="0"/>
              <w:rPr>
                <w:sz w:val="1"/>
                <w:szCs w:val="1"/>
                <w:color w:val="auto"/>
              </w:rPr>
            </w:pPr>
          </w:p>
        </w:tc>
      </w:tr>
      <w:tr>
        <w:trPr>
          <w:trHeight w:val="986"/>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10/16/2017</w:t>
            </w:r>
          </w:p>
        </w:tc>
        <w:tc>
          <w:tcPr>
            <w:tcW w:w="0" w:type="dxa"/>
            <w:vAlign w:val="bottom"/>
          </w:tcPr>
          <w:p>
            <w:pPr>
              <w:spacing w:after="0"/>
              <w:rPr>
                <w:sz w:val="1"/>
                <w:szCs w:val="1"/>
                <w:color w:val="auto"/>
              </w:rPr>
            </w:pPr>
          </w:p>
        </w:tc>
      </w:tr>
      <w:tr>
        <w:trPr>
          <w:trHeight w:val="1094"/>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***S-4</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10/16/2014</w:t>
            </w:r>
          </w:p>
        </w:tc>
        <w:tc>
          <w:tcPr>
            <w:tcW w:w="0" w:type="dxa"/>
            <w:vAlign w:val="bottom"/>
          </w:tcPr>
          <w:p>
            <w:pPr>
              <w:spacing w:after="0"/>
              <w:rPr>
                <w:sz w:val="1"/>
                <w:szCs w:val="1"/>
                <w:color w:val="auto"/>
              </w:rPr>
            </w:pPr>
          </w:p>
        </w:tc>
      </w:tr>
      <w:tr>
        <w:trPr>
          <w:trHeight w:val="878"/>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5/21/2014</w:t>
            </w:r>
          </w:p>
        </w:tc>
        <w:tc>
          <w:tcPr>
            <w:tcW w:w="0" w:type="dxa"/>
            <w:vAlign w:val="bottom"/>
          </w:tcPr>
          <w:p>
            <w:pPr>
              <w:spacing w:after="0"/>
              <w:rPr>
                <w:sz w:val="1"/>
                <w:szCs w:val="1"/>
                <w:color w:val="auto"/>
              </w:rPr>
            </w:pPr>
          </w:p>
        </w:tc>
      </w:tr>
      <w:tr>
        <w:trPr>
          <w:trHeight w:val="783"/>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10.43</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986"/>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1094"/>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10.45</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986"/>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675"/>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1067"/>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*8-K</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10/13/2017</w:t>
            </w:r>
          </w:p>
        </w:tc>
        <w:tc>
          <w:tcPr>
            <w:tcW w:w="0" w:type="dxa"/>
            <w:vAlign w:val="bottom"/>
          </w:tcPr>
          <w:p>
            <w:pPr>
              <w:spacing w:after="0"/>
              <w:rPr>
                <w:sz w:val="1"/>
                <w:szCs w:val="1"/>
                <w:color w:val="auto"/>
              </w:rPr>
            </w:pPr>
          </w:p>
        </w:tc>
      </w:tr>
      <w:tr>
        <w:trPr>
          <w:trHeight w:val="1269"/>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12/31/2017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10.42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3/8/2018</w:t>
            </w:r>
          </w:p>
        </w:tc>
        <w:tc>
          <w:tcPr>
            <w:tcW w:w="0" w:type="dxa"/>
            <w:vAlign w:val="bottom"/>
          </w:tcPr>
          <w:p>
            <w:pPr>
              <w:spacing w:after="0"/>
              <w:rPr>
                <w:sz w:val="1"/>
                <w:szCs w:val="1"/>
                <w:color w:val="auto"/>
              </w:rPr>
            </w:pPr>
          </w:p>
        </w:tc>
      </w:tr>
      <w:tr>
        <w:trPr>
          <w:trHeight w:val="891"/>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6/30/2018</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8/1/2018</w:t>
            </w:r>
          </w:p>
        </w:tc>
        <w:tc>
          <w:tcPr>
            <w:tcW w:w="0" w:type="dxa"/>
            <w:vAlign w:val="bottom"/>
          </w:tcPr>
          <w:p>
            <w:pPr>
              <w:spacing w:after="0"/>
              <w:rPr>
                <w:sz w:val="1"/>
                <w:szCs w:val="1"/>
                <w:color w:val="auto"/>
              </w:rPr>
            </w:pPr>
          </w:p>
        </w:tc>
      </w:tr>
    </w:tbl>
    <w:p>
      <w:pPr>
        <w:spacing w:after="0" w:line="381" w:lineRule="exact"/>
        <w:rPr>
          <w:sz w:val="20"/>
          <w:szCs w:val="20"/>
          <w:color w:val="auto"/>
        </w:rPr>
      </w:pPr>
    </w:p>
    <w:p>
      <w:pPr>
        <w:sectPr>
          <w:pgSz w:w="11900" w:h="16838" w:orient="portrait"/>
          <w:cols w:equalWidth="0" w:num="2">
            <w:col w:w="5160" w:space="120"/>
            <w:col w:w="6140"/>
          </w:cols>
          <w:pgMar w:left="240" w:top="706"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706"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660"/>
              <w:spacing w:after="0"/>
              <w:rPr>
                <w:sz w:val="20"/>
                <w:szCs w:val="20"/>
                <w:color w:val="auto"/>
              </w:rPr>
            </w:pPr>
            <w:r>
              <w:rPr>
                <w:rFonts w:ascii="Arial" w:cs="Arial" w:eastAsia="Arial" w:hAnsi="Arial"/>
                <w:sz w:val="16"/>
                <w:szCs w:val="16"/>
                <w:b w:val="1"/>
                <w:bCs w:val="1"/>
                <w:color w:val="auto"/>
              </w:rPr>
              <w:t>Incorporated by Reference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+Included</w:t>
            </w: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00" w:type="dxa"/>
            <w:vAlign w:val="bottom"/>
            <w:gridSpan w:val="6"/>
          </w:tcPr>
          <w:p>
            <w:pPr>
              <w:ind w:left="140"/>
              <w:spacing w:after="0"/>
              <w:rPr>
                <w:sz w:val="20"/>
                <w:szCs w:val="20"/>
                <w:color w:val="auto"/>
              </w:rPr>
            </w:pPr>
            <w:r>
              <w:rPr>
                <w:rFonts w:ascii="Arial" w:cs="Arial" w:eastAsia="Arial" w:hAnsi="Arial"/>
                <w:sz w:val="16"/>
                <w:szCs w:val="16"/>
                <w:b w:val="1"/>
                <w:bCs w:val="1"/>
                <w:color w:val="auto"/>
              </w:rPr>
              <w:t>Exhibit Description</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Herewith</w:t>
            </w:r>
          </w:p>
        </w:tc>
        <w:tc>
          <w:tcPr>
            <w:tcW w:w="900" w:type="dxa"/>
            <w:vAlign w:val="bottom"/>
            <w:gridSpan w:val="2"/>
          </w:tcPr>
          <w:p>
            <w:pPr>
              <w:ind w:left="200"/>
              <w:spacing w:after="0"/>
              <w:rPr>
                <w:sz w:val="20"/>
                <w:szCs w:val="20"/>
                <w:color w:val="auto"/>
              </w:rPr>
            </w:pPr>
            <w:r>
              <w:rPr>
                <w:rFonts w:ascii="Arial" w:cs="Arial" w:eastAsia="Arial" w:hAnsi="Arial"/>
                <w:sz w:val="16"/>
                <w:szCs w:val="16"/>
                <w:b w:val="1"/>
                <w:bCs w:val="1"/>
                <w:color w:val="auto"/>
              </w:rPr>
              <w:t>Form</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 Ending</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33"/>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†10.13</w:t>
            </w:r>
          </w:p>
        </w:tc>
        <w:tc>
          <w:tcPr>
            <w:tcW w:w="20" w:type="dxa"/>
            <w:vAlign w:val="bottom"/>
          </w:tcPr>
          <w:p>
            <w:pPr>
              <w:spacing w:after="0"/>
              <w:rPr>
                <w:sz w:val="24"/>
                <w:szCs w:val="24"/>
                <w:color w:val="auto"/>
              </w:rPr>
            </w:pPr>
          </w:p>
        </w:tc>
        <w:tc>
          <w:tcPr>
            <w:tcW w:w="4200" w:type="dxa"/>
            <w:vAlign w:val="bottom"/>
            <w:tcBorders>
              <w:bottom w:val="single" w:sz="8" w:color="0000EE"/>
            </w:tcBorders>
            <w:gridSpan w:val="4"/>
          </w:tcPr>
          <w:p>
            <w:pPr>
              <w:spacing w:after="0"/>
              <w:rPr>
                <w:rFonts w:ascii="Arial" w:cs="Arial" w:eastAsia="Arial" w:hAnsi="Arial"/>
                <w:sz w:val="16"/>
                <w:szCs w:val="16"/>
                <w:color w:val="0000EE"/>
                <w:w w:val="91"/>
              </w:rPr>
            </w:pPr>
            <w:hyperlink r:id="rId44">
              <w:r>
                <w:rPr>
                  <w:rFonts w:ascii="Arial" w:cs="Arial" w:eastAsia="Arial" w:hAnsi="Arial"/>
                  <w:sz w:val="16"/>
                  <w:szCs w:val="16"/>
                  <w:color w:val="0000EE"/>
                  <w:w w:val="91"/>
                </w:rPr>
                <w:t>Second Amendment to Unit Purchase Agreement, dated July 15,</w:t>
              </w:r>
            </w:hyperlink>
          </w:p>
        </w:tc>
        <w:tc>
          <w:tcPr>
            <w:tcW w:w="2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44">
              <w:r>
                <w:rPr>
                  <w:rFonts w:ascii="Arial" w:cs="Arial" w:eastAsia="Arial" w:hAnsi="Arial"/>
                  <w:sz w:val="16"/>
                  <w:szCs w:val="16"/>
                  <w:color w:val="0000EE"/>
                  <w:w w:val="91"/>
                </w:rPr>
                <w:t>2018, among Caesars Entertainment Corporation, Clairvest GP</w:t>
              </w:r>
            </w:hyperlink>
          </w:p>
        </w:tc>
        <w:tc>
          <w:tcPr>
            <w:tcW w:w="34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r:id="rId44">
              <w:r>
                <w:rPr>
                  <w:rFonts w:ascii="Arial" w:cs="Arial" w:eastAsia="Arial" w:hAnsi="Arial"/>
                  <w:sz w:val="16"/>
                  <w:szCs w:val="16"/>
                  <w:color w:val="0000EE"/>
                  <w:w w:val="91"/>
                </w:rPr>
                <w:t>Manageco, Inc., Centaur Holdings, LLC, and each of the Persons</w:t>
              </w:r>
            </w:hyperlink>
          </w:p>
        </w:tc>
        <w:tc>
          <w:tcPr>
            <w:tcW w:w="200" w:type="dxa"/>
            <w:vAlign w:val="bottom"/>
            <w:gridSpan w:val="2"/>
          </w:tcPr>
          <w:p>
            <w:pPr>
              <w:spacing w:after="0"/>
              <w:rPr>
                <w:sz w:val="15"/>
                <w:szCs w:val="15"/>
                <w:color w:val="auto"/>
              </w:rPr>
            </w:pPr>
          </w:p>
        </w:tc>
        <w:tc>
          <w:tcPr>
            <w:tcW w:w="116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w w:val="99"/>
              </w:rPr>
              <w:t>—</w:t>
            </w:r>
          </w:p>
        </w:tc>
        <w:tc>
          <w:tcPr>
            <w:tcW w:w="9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*10-Q</w:t>
            </w:r>
          </w:p>
        </w:tc>
        <w:tc>
          <w:tcPr>
            <w:tcW w:w="136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6/30/2018</w:t>
            </w:r>
          </w:p>
        </w:tc>
        <w:tc>
          <w:tcPr>
            <w:tcW w:w="120" w:type="dxa"/>
            <w:vAlign w:val="bottom"/>
          </w:tcPr>
          <w:p>
            <w:pPr>
              <w:spacing w:after="0"/>
              <w:rPr>
                <w:sz w:val="15"/>
                <w:szCs w:val="15"/>
                <w:color w:val="auto"/>
              </w:rPr>
            </w:pPr>
          </w:p>
        </w:tc>
        <w:tc>
          <w:tcPr>
            <w:tcW w:w="1120" w:type="dxa"/>
            <w:vAlign w:val="bottom"/>
          </w:tcPr>
          <w:p>
            <w:pPr>
              <w:jc w:val="right"/>
              <w:ind w:right="339"/>
              <w:spacing w:after="0" w:line="183"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136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8/1/2018</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44">
              <w:r>
                <w:rPr>
                  <w:rFonts w:ascii="Arial" w:cs="Arial" w:eastAsia="Arial" w:hAnsi="Arial"/>
                  <w:sz w:val="16"/>
                  <w:szCs w:val="16"/>
                  <w:color w:val="0000EE"/>
                  <w:w w:val="90"/>
                </w:rPr>
                <w:t>listed on Schedule 1 of the Unit Purchase Agreement, dated</w:t>
              </w:r>
            </w:hyperlink>
          </w:p>
        </w:tc>
        <w:tc>
          <w:tcPr>
            <w:tcW w:w="560" w:type="dxa"/>
            <w:vAlign w:val="bottom"/>
            <w:gridSpan w:val="5"/>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bottom w:val="single" w:sz="8" w:color="0000EE"/>
            </w:tcBorders>
          </w:tcPr>
          <w:p>
            <w:pPr>
              <w:spacing w:after="0" w:line="183" w:lineRule="exact"/>
              <w:rPr>
                <w:rFonts w:ascii="Arial" w:cs="Arial" w:eastAsia="Arial" w:hAnsi="Arial"/>
                <w:sz w:val="16"/>
                <w:szCs w:val="16"/>
                <w:color w:val="0000EE"/>
                <w:w w:val="91"/>
              </w:rPr>
            </w:pPr>
            <w:hyperlink r:id="rId44">
              <w:r>
                <w:rPr>
                  <w:rFonts w:ascii="Arial" w:cs="Arial" w:eastAsia="Arial" w:hAnsi="Arial"/>
                  <w:sz w:val="16"/>
                  <w:szCs w:val="16"/>
                  <w:color w:val="0000EE"/>
                  <w:w w:val="91"/>
                </w:rPr>
                <w:t>November 16, 2017.</w:t>
              </w:r>
            </w:hyperlink>
          </w:p>
        </w:tc>
        <w:tc>
          <w:tcPr>
            <w:tcW w:w="3100" w:type="dxa"/>
            <w:vAlign w:val="bottom"/>
            <w:gridSpan w:val="6"/>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706" w:right="239" w:bottom="1440" w:gutter="0" w:footer="0" w:header="0"/>
        </w:sectPr>
      </w:pPr>
    </w:p>
    <w:p>
      <w:pPr>
        <w:jc w:val="both"/>
        <w:ind w:left="840" w:right="200" w:hanging="674"/>
        <w:spacing w:after="0" w:line="335" w:lineRule="auto"/>
        <w:tabs>
          <w:tab w:leader="none" w:pos="820" w:val="left"/>
        </w:tabs>
        <w:rPr>
          <w:rFonts w:ascii="Arial" w:cs="Arial" w:eastAsia="Arial" w:hAnsi="Arial"/>
          <w:sz w:val="14"/>
          <w:szCs w:val="14"/>
          <w:u w:val="single" w:color="auto"/>
          <w:color w:val="0000EE"/>
        </w:rPr>
      </w:pPr>
      <w:r>
        <w:rPr>
          <w:rFonts w:ascii="Arial" w:cs="Arial" w:eastAsia="Arial" w:hAnsi="Arial"/>
          <w:sz w:val="16"/>
          <w:szCs w:val="16"/>
          <w:color w:val="auto"/>
        </w:rPr>
        <w:t>10.14</w:t>
      </w:r>
      <w:r>
        <w:rPr>
          <w:sz w:val="20"/>
          <w:szCs w:val="20"/>
          <w:color w:val="auto"/>
        </w:rPr>
        <w:tab/>
      </w:r>
      <w:hyperlink r:id="rId45">
        <w:r>
          <w:rPr>
            <w:rFonts w:ascii="Arial" w:cs="Arial" w:eastAsia="Arial" w:hAnsi="Arial"/>
            <w:sz w:val="14"/>
            <w:szCs w:val="14"/>
            <w:u w:val="single" w:color="auto"/>
            <w:color w:val="0000EE"/>
          </w:rPr>
          <w:t>Assignment Agreement, dated July 15, 2018, among Caesars</w:t>
        </w:r>
      </w:hyperlink>
      <w:r>
        <w:rPr>
          <w:rFonts w:ascii="Arial" w:cs="Arial" w:eastAsia="Arial" w:hAnsi="Arial"/>
          <w:sz w:val="14"/>
          <w:szCs w:val="14"/>
          <w:u w:val="single" w:color="auto"/>
          <w:color w:val="0000EE"/>
        </w:rPr>
        <w:t xml:space="preserve"> </w:t>
      </w:r>
      <w:hyperlink r:id="rId45">
        <w:r>
          <w:rPr>
            <w:rFonts w:ascii="Arial" w:cs="Arial" w:eastAsia="Arial" w:hAnsi="Arial"/>
            <w:sz w:val="14"/>
            <w:szCs w:val="14"/>
            <w:u w:val="single" w:color="auto"/>
            <w:color w:val="0000EE"/>
          </w:rPr>
          <w:t>Entertainment Corporation, Caesars Resort Collection, LLC,</w:t>
        </w:r>
      </w:hyperlink>
      <w:r>
        <w:rPr>
          <w:rFonts w:ascii="Arial" w:cs="Arial" w:eastAsia="Arial" w:hAnsi="Arial"/>
          <w:sz w:val="14"/>
          <w:szCs w:val="14"/>
          <w:u w:val="single" w:color="auto"/>
          <w:color w:val="0000EE"/>
        </w:rPr>
        <w:t xml:space="preserve"> </w:t>
      </w:r>
      <w:hyperlink r:id="rId45">
        <w:r>
          <w:rPr>
            <w:rFonts w:ascii="Arial" w:cs="Arial" w:eastAsia="Arial" w:hAnsi="Arial"/>
            <w:sz w:val="14"/>
            <w:szCs w:val="14"/>
            <w:u w:val="single" w:color="auto"/>
            <w:color w:val="0000EE"/>
          </w:rPr>
          <w:t>Clairvest GP Manageco, Inc. and Centaur Holdings, LLC.</w:t>
        </w:r>
      </w:hyperlink>
    </w:p>
    <w:p>
      <w:pPr>
        <w:spacing w:after="0" w:line="109" w:lineRule="exact"/>
        <w:rPr>
          <w:rFonts w:ascii="Arial" w:cs="Arial" w:eastAsia="Arial" w:hAnsi="Arial"/>
          <w:sz w:val="14"/>
          <w:szCs w:val="14"/>
          <w:u w:val="single" w:color="auto"/>
          <w:color w:val="0000EE"/>
        </w:rPr>
      </w:pPr>
    </w:p>
    <w:p>
      <w:pPr>
        <w:ind w:left="840" w:right="120" w:hanging="674"/>
        <w:spacing w:after="0" w:line="335" w:lineRule="auto"/>
        <w:tabs>
          <w:tab w:leader="none" w:pos="820" w:val="left"/>
        </w:tabs>
        <w:rPr>
          <w:rFonts w:ascii="Arial" w:cs="Arial" w:eastAsia="Arial" w:hAnsi="Arial"/>
          <w:sz w:val="14"/>
          <w:szCs w:val="14"/>
          <w:u w:val="single" w:color="auto"/>
          <w:color w:val="0000EE"/>
        </w:rPr>
      </w:pPr>
      <w:r>
        <w:rPr>
          <w:rFonts w:ascii="Arial" w:cs="Arial" w:eastAsia="Arial" w:hAnsi="Arial"/>
          <w:sz w:val="16"/>
          <w:szCs w:val="16"/>
          <w:color w:val="auto"/>
        </w:rPr>
        <w:t>10.15</w:t>
      </w:r>
      <w:r>
        <w:rPr>
          <w:sz w:val="20"/>
          <w:szCs w:val="20"/>
          <w:color w:val="auto"/>
        </w:rPr>
        <w:tab/>
      </w:r>
      <w:hyperlink r:id="rId46">
        <w:r>
          <w:rPr>
            <w:rFonts w:ascii="Arial" w:cs="Arial" w:eastAsia="Arial" w:hAnsi="Arial"/>
            <w:sz w:val="14"/>
            <w:szCs w:val="14"/>
            <w:u w:val="single" w:color="auto"/>
            <w:color w:val="0000EE"/>
          </w:rPr>
          <w:t>First Amendment, dated December 26, 2018, to Amended and</w:t>
        </w:r>
      </w:hyperlink>
      <w:r>
        <w:rPr>
          <w:rFonts w:ascii="Arial" w:cs="Arial" w:eastAsia="Arial" w:hAnsi="Arial"/>
          <w:sz w:val="14"/>
          <w:szCs w:val="14"/>
          <w:u w:val="single" w:color="auto"/>
          <w:color w:val="0000EE"/>
        </w:rPr>
        <w:t xml:space="preserve"> </w:t>
      </w:r>
      <w:hyperlink r:id="rId46">
        <w:r>
          <w:rPr>
            <w:rFonts w:ascii="Arial" w:cs="Arial" w:eastAsia="Arial" w:hAnsi="Arial"/>
            <w:sz w:val="14"/>
            <w:szCs w:val="14"/>
            <w:u w:val="single" w:color="auto"/>
            <w:color w:val="0000EE"/>
          </w:rPr>
          <w:t>Restated Lease, dated December 22, 2017, by and between</w:t>
        </w:r>
      </w:hyperlink>
      <w:r>
        <w:rPr>
          <w:rFonts w:ascii="Arial" w:cs="Arial" w:eastAsia="Arial" w:hAnsi="Arial"/>
          <w:sz w:val="14"/>
          <w:szCs w:val="14"/>
          <w:u w:val="single" w:color="auto"/>
          <w:color w:val="0000EE"/>
        </w:rPr>
        <w:t xml:space="preserve"> </w:t>
      </w:r>
      <w:hyperlink r:id="rId46">
        <w:r>
          <w:rPr>
            <w:rFonts w:ascii="Arial" w:cs="Arial" w:eastAsia="Arial" w:hAnsi="Arial"/>
            <w:sz w:val="14"/>
            <w:szCs w:val="14"/>
            <w:u w:val="single" w:color="auto"/>
            <w:color w:val="0000EE"/>
          </w:rPr>
          <w:t>Claudine Propco, LLC and Harrah’s Las Vegas, LLC.</w:t>
        </w:r>
      </w:hyperlink>
    </w:p>
    <w:p>
      <w:pPr>
        <w:spacing w:after="0" w:line="109" w:lineRule="exact"/>
        <w:rPr>
          <w:rFonts w:ascii="Arial" w:cs="Arial" w:eastAsia="Arial" w:hAnsi="Arial"/>
          <w:sz w:val="14"/>
          <w:szCs w:val="14"/>
          <w:u w:val="single" w:color="auto"/>
          <w:color w:val="0000EE"/>
        </w:rPr>
      </w:pPr>
    </w:p>
    <w:p>
      <w:pPr>
        <w:ind w:left="840" w:hanging="569"/>
        <w:spacing w:after="0"/>
        <w:tabs>
          <w:tab w:leader="none" w:pos="840" w:val="left"/>
        </w:tabs>
        <w:numPr>
          <w:ilvl w:val="0"/>
          <w:numId w:val="44"/>
        </w:numPr>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Code of Business Conduct and Ethics, February 1, 2018.</w:t>
        </w:r>
      </w:hyperlink>
    </w:p>
    <w:p>
      <w:pPr>
        <w:spacing w:after="0" w:line="208" w:lineRule="exact"/>
        <w:rPr>
          <w:rFonts w:ascii="Arial" w:cs="Arial" w:eastAsia="Arial" w:hAnsi="Arial"/>
          <w:sz w:val="14"/>
          <w:szCs w:val="14"/>
          <w:u w:val="single" w:color="auto"/>
          <w:color w:val="0000EE"/>
        </w:rPr>
      </w:pPr>
    </w:p>
    <w:p>
      <w:pPr>
        <w:ind w:left="840" w:right="520" w:hanging="634"/>
        <w:spacing w:after="0" w:line="293" w:lineRule="auto"/>
        <w:tabs>
          <w:tab w:leader="none" w:pos="820" w:val="left"/>
        </w:tabs>
        <w:rPr>
          <w:rFonts w:ascii="Arial" w:cs="Arial" w:eastAsia="Arial" w:hAnsi="Arial"/>
          <w:sz w:val="16"/>
          <w:szCs w:val="16"/>
          <w:u w:val="single" w:color="auto"/>
          <w:color w:val="0000EE"/>
        </w:rPr>
      </w:pPr>
      <w:r>
        <w:rPr>
          <w:rFonts w:ascii="Arial" w:cs="Arial" w:eastAsia="Arial" w:hAnsi="Arial"/>
          <w:sz w:val="16"/>
          <w:szCs w:val="16"/>
          <w:color w:val="auto"/>
        </w:rPr>
        <w:t>99.1</w:t>
      </w:r>
      <w:r>
        <w:rPr>
          <w:sz w:val="20"/>
          <w:szCs w:val="20"/>
          <w:color w:val="auto"/>
        </w:rPr>
        <w:tab/>
      </w:r>
      <w:hyperlink w:anchor="page95">
        <w:r>
          <w:rPr>
            <w:rFonts w:ascii="Arial" w:cs="Arial" w:eastAsia="Arial" w:hAnsi="Arial"/>
            <w:sz w:val="16"/>
            <w:szCs w:val="16"/>
            <w:u w:val="single" w:color="auto"/>
            <w:color w:val="0000EE"/>
          </w:rPr>
          <w:t>Gaming Regulatory Overview of Caesars Entertainment</w:t>
        </w:r>
      </w:hyperlink>
      <w:r>
        <w:rPr>
          <w:rFonts w:ascii="Arial" w:cs="Arial" w:eastAsia="Arial" w:hAnsi="Arial"/>
          <w:sz w:val="16"/>
          <w:szCs w:val="16"/>
          <w:u w:val="single" w:color="auto"/>
          <w:color w:val="0000EE"/>
        </w:rPr>
        <w:t xml:space="preserve"> </w:t>
      </w:r>
      <w:hyperlink w:anchor="page95">
        <w:r>
          <w:rPr>
            <w:rFonts w:ascii="Arial" w:cs="Arial" w:eastAsia="Arial" w:hAnsi="Arial"/>
            <w:sz w:val="16"/>
            <w:szCs w:val="16"/>
            <w:u w:val="single" w:color="auto"/>
            <w:color w:val="0000EE"/>
          </w:rPr>
          <w:t>Corporation.</w:t>
        </w:r>
      </w:hyperlink>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*10-Q</w:t>
            </w:r>
          </w:p>
        </w:tc>
        <w:tc>
          <w:tcPr>
            <w:tcW w:w="1440" w:type="dxa"/>
            <w:vAlign w:val="bottom"/>
          </w:tcPr>
          <w:p>
            <w:pPr>
              <w:jc w:val="right"/>
              <w:ind w:right="359"/>
              <w:spacing w:after="0"/>
              <w:rPr>
                <w:sz w:val="20"/>
                <w:szCs w:val="20"/>
                <w:color w:val="auto"/>
              </w:rPr>
            </w:pPr>
            <w:r>
              <w:rPr>
                <w:rFonts w:ascii="Arial" w:cs="Arial" w:eastAsia="Arial" w:hAnsi="Arial"/>
                <w:sz w:val="16"/>
                <w:szCs w:val="16"/>
                <w:color w:val="auto"/>
              </w:rPr>
              <w:t>6/30/2018</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10.4</w:t>
            </w:r>
          </w:p>
        </w:tc>
        <w:tc>
          <w:tcPr>
            <w:tcW w:w="1160" w:type="dxa"/>
            <w:vAlign w:val="bottom"/>
          </w:tcPr>
          <w:p>
            <w:pPr>
              <w:jc w:val="right"/>
              <w:spacing w:after="0"/>
              <w:rPr>
                <w:sz w:val="20"/>
                <w:szCs w:val="20"/>
                <w:color w:val="auto"/>
              </w:rPr>
            </w:pPr>
            <w:r>
              <w:rPr>
                <w:rFonts w:ascii="Arial" w:cs="Arial" w:eastAsia="Arial" w:hAnsi="Arial"/>
                <w:sz w:val="16"/>
                <w:szCs w:val="16"/>
                <w:color w:val="auto"/>
              </w:rPr>
              <w:t>8/1/2018</w:t>
            </w:r>
          </w:p>
        </w:tc>
      </w:tr>
      <w:tr>
        <w:trPr>
          <w:trHeight w:val="783"/>
        </w:trPr>
        <w:tc>
          <w:tcPr>
            <w:tcW w:w="5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*8-K</w:t>
            </w:r>
          </w:p>
        </w:tc>
        <w:tc>
          <w:tcPr>
            <w:tcW w:w="1440" w:type="dxa"/>
            <w:vAlign w:val="bottom"/>
          </w:tcPr>
          <w:p>
            <w:pPr>
              <w:jc w:val="center"/>
              <w:ind w:right="3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10.4</w:t>
            </w:r>
          </w:p>
        </w:tc>
        <w:tc>
          <w:tcPr>
            <w:tcW w:w="1160" w:type="dxa"/>
            <w:vAlign w:val="bottom"/>
          </w:tcPr>
          <w:p>
            <w:pPr>
              <w:jc w:val="right"/>
              <w:spacing w:after="0"/>
              <w:rPr>
                <w:sz w:val="20"/>
                <w:szCs w:val="20"/>
                <w:color w:val="auto"/>
              </w:rPr>
            </w:pPr>
            <w:r>
              <w:rPr>
                <w:rFonts w:ascii="Arial" w:cs="Arial" w:eastAsia="Arial" w:hAnsi="Arial"/>
                <w:sz w:val="16"/>
                <w:szCs w:val="16"/>
                <w:color w:val="auto"/>
              </w:rPr>
              <w:t>12/26/2018</w:t>
            </w:r>
          </w:p>
        </w:tc>
      </w:tr>
      <w:tr>
        <w:trPr>
          <w:trHeight w:val="581"/>
        </w:trPr>
        <w:tc>
          <w:tcPr>
            <w:tcW w:w="540" w:type="dxa"/>
            <w:vAlign w:val="bottom"/>
          </w:tcPr>
          <w:p>
            <w:pPr>
              <w:ind w:left="4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86"/>
        </w:trPr>
        <w:tc>
          <w:tcPr>
            <w:tcW w:w="540" w:type="dxa"/>
            <w:vAlign w:val="bottom"/>
          </w:tcPr>
          <w:p>
            <w:pPr>
              <w:ind w:left="40"/>
              <w:spacing w:after="0"/>
              <w:rPr>
                <w:sz w:val="20"/>
                <w:szCs w:val="20"/>
                <w:color w:val="auto"/>
              </w:rPr>
            </w:pPr>
            <w:r>
              <w:rPr>
                <w:rFonts w:ascii="Arial" w:cs="Arial" w:eastAsia="Arial" w:hAnsi="Arial"/>
                <w:sz w:val="16"/>
                <w:szCs w:val="16"/>
                <w:color w:val="auto"/>
              </w:rPr>
              <w:t>X</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48" w:lineRule="exact"/>
        <w:rPr>
          <w:sz w:val="20"/>
          <w:szCs w:val="20"/>
          <w:color w:val="auto"/>
        </w:rPr>
      </w:pPr>
    </w:p>
    <w:p>
      <w:pPr>
        <w:sectPr>
          <w:pgSz w:w="11900" w:h="16838" w:orient="portrait"/>
          <w:cols w:equalWidth="0" w:num="2">
            <w:col w:w="5000" w:space="720"/>
            <w:col w:w="5700"/>
          </w:cols>
          <w:pgMar w:left="240" w:top="706" w:right="239" w:bottom="1440" w:gutter="0" w:footer="0" w:header="0"/>
          <w:type w:val="continuous"/>
        </w:sectPr>
      </w:pPr>
    </w:p>
    <w:p>
      <w:pPr>
        <w:spacing w:after="0" w:line="107" w:lineRule="exact"/>
        <w:rPr>
          <w:sz w:val="20"/>
          <w:szCs w:val="20"/>
          <w:color w:val="auto"/>
        </w:rPr>
      </w:pPr>
    </w:p>
    <w:p>
      <w:pPr>
        <w:ind w:left="1080" w:right="100" w:hanging="653"/>
        <w:spacing w:after="0" w:line="293"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Schedules and exhibits have been omitted pursuant to Item 601(b)(2) of Regulation S-K. Caesars Entertainment Corporation agreed to furnish supplementally to the SEC a copy of any omitted schedule or exhibit upon request.</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by Caesars Entertainment Corporation</w:t>
      </w:r>
    </w:p>
    <w:p>
      <w:pPr>
        <w:spacing w:after="0" w:line="86" w:lineRule="exact"/>
        <w:rPr>
          <w:sz w:val="20"/>
          <w:szCs w:val="20"/>
          <w:color w:val="auto"/>
        </w:rPr>
      </w:pPr>
    </w:p>
    <w:p>
      <w:pPr>
        <w:ind w:left="1080" w:hanging="667"/>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Filed by Caesars Growth Properties Holdings, LLC</w:t>
      </w:r>
    </w:p>
    <w:p>
      <w:pPr>
        <w:spacing w:after="0" w:line="8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by Caesars Entertainment Resort Properties, LLC</w:t>
      </w:r>
    </w:p>
    <w:p>
      <w:pPr>
        <w:spacing w:after="0" w:line="86" w:lineRule="exact"/>
        <w:rPr>
          <w:sz w:val="20"/>
          <w:szCs w:val="20"/>
          <w:color w:val="auto"/>
        </w:rPr>
      </w:pPr>
    </w:p>
    <w:p>
      <w:pPr>
        <w:ind w:left="1080" w:right="340" w:hanging="632"/>
        <w:spacing w:after="0" w:line="181" w:lineRule="auto"/>
        <w:tabs>
          <w:tab w:leader="none" w:pos="1080" w:val="left"/>
        </w:tabs>
        <w:numPr>
          <w:ilvl w:val="0"/>
          <w:numId w:val="47"/>
        </w:numPr>
        <w:rPr>
          <w:rFonts w:ascii="Arial" w:cs="Arial" w:eastAsia="Arial" w:hAnsi="Arial"/>
          <w:sz w:val="31"/>
          <w:szCs w:val="31"/>
          <w:color w:val="auto"/>
          <w:vertAlign w:val="subscript"/>
        </w:rPr>
      </w:pPr>
      <w:r>
        <w:rPr>
          <w:rFonts w:ascii="Arial" w:cs="Arial" w:eastAsia="Arial" w:hAnsi="Arial"/>
          <w:sz w:val="16"/>
          <w:szCs w:val="16"/>
          <w:color w:val="auto"/>
        </w:rPr>
        <w:t>This Annual Report and the Exhibits marked as “Included Herewith” are being furnished with the Securities and Exchange Commission on a Form 8-K of Caesars Entertainment Corporation dated February 21, 2019.</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16. Form 10-K Summary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06" w:right="239" w:bottom="1440" w:gutter="0" w:footer="0" w:header="0"/>
          <w:type w:val="continuous"/>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9451340</wp:posOffset>
            </wp:positionV>
            <wp:extent cx="678751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99.3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REGULATORY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ownership and operation of casino entertainment facilities are subject to pervasive regulation under the laws, rules and regulations of each of the jurisdictions in which we operate. Gaming laws are based upon declarations of public policy designed to ensure that gaming is conducted honestly, competitively and free of criminal and corruptive elements. Since the continued growth and success of gaming is dependent upon public confidence, gaming laws protect gaming consumers and the viability and integrity of the gaming industry, including prevention of cheating and fraudulent practices. Gaming laws may also be designed to protect and maximize state and local revenues derived through taxation and licensing fees imposed on gaming industry participants and enhance economic development and tourism. To accomplish these public policy goals, gaming laws establish procedures to ensure that participants in the gaming industry meet certain standards of character and fitness, or suitability. In addition, gaming laws require gaming industry participants to:</w:t>
      </w:r>
    </w:p>
    <w:p>
      <w:pPr>
        <w:spacing w:after="0" w:line="11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strict compliance with various laws, regulations and required minimum internal controls pertaining to gaming.</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Typically, regulatory environments in the jurisdictions in which we operate are established by statute and are administered by a regulatory agency or agencies with interpretive authority with respect to gaming laws and regulations and broad discretion to regulate the affairs of owners, managers, and persons/entities with financial interests in gaming operations. Among other things, gaming authorities in the various jurisdictions in which we operate:</w:t>
      </w:r>
    </w:p>
    <w:p>
      <w:pPr>
        <w:spacing w:after="0" w:line="11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appropriate investigations to determine if there has been any violation of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Enforce gaming laws and impose disciplinary sanctions for violations, including fines and penalties;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and collect fees and/or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Suitability Determinations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Gaming laws require us, each of our subsidiaries engaged in gaming operations, certain of our directors, officers and employees, and in some cases, our stockholders and holders of our debt securities, to obtain licenses or findings of suitability from gaming authorities. Licenses or findings of suitability typically require a determination that the applicant qualifies or is suitable. Gaming authorities have very broad discretion in determining whether an applicant qualifies for licensing or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 Criteria used in determining whether to grant a license or finding of suitability, while varying between jurisdictions, generally include consideration of factors such as:</w:t>
      </w:r>
    </w:p>
    <w:p>
      <w:pPr>
        <w:spacing w:after="0" w:line="124"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jurisdiction and exhibits the ability to maintain adequate insurance levels;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95" w:name="page96"/>
    <w:bookmarkEnd w:id="95"/>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quality of the applicant’s casino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jurisdiction through operation of the applicant’s gaming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and training;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evaluating individual applicants, gaming authorities consider the individual’s reputation for good character and criminal and financial history and the character of those with whom the individual associates.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jurisdictions limit the number of licenses granted to operate gaming facilities within the jurisdiction, and some jurisdictions limit the number of licenses granted to any one gaming operator. For example, in Indiana, state law allows us to hold a 100% ownership interest in not more than two riverboat licenses. We are also permitted to hold gambling game licenses for each of Harrah’s Hoosier Park and Indiana Grand. Licenses under gaming laws are generally not transferable unless the transfer is approved by the requisite regulatory agency. Licenses in many of the jurisdictions in which we conduct gaming operations are granted for limited durations and require renewal from time to time. There can be no assurance that any of our licenses or any of the above mentioned contracts will be renewed.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jurisdictions have statutory or regulatory provisions that govern the required action that must be taken in the event that a license is revoked or not renewed. For example, under Indiana law, a trustee approved by gaming authorities may assume complete operational control of our riverboat in the event our license is revoked or not renewed, and may be authorized to take any action necessary to sell the property if we are unable to find a suitable buyer within 180 days.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or entity having a material relationship to, or material involvement with, any of these entities to determine whether such individual is suitable or should be licensed as a business associate of a gaming licensee. Certain jurisdictions require that any change in our directors or officers, including the directors or officers of our subsidiaries, must be approved by the requisite regulatory agency. Our officers, directors and certain key employees must also file applications with the gaming authorities and may be required to be licensed, qualified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burden of demonstrating suitability is on the applicant, who must pay all the costs of the investigation. Changes in licensed positions must be reported to gaming authorities and in addition to their authority to deny an application for licensure, qualification or a finding of suitability, gaming authorities have jurisdiction to condition, limit, or disapprove of a change in a corporate position.</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gaming authorities were to find that an officer, director or key employee fails to qualify or is unsuitable for licensing or unsuitable to continue having a relationship with us, we would have to sever all relationships with such person. In addition, gaming authorities may require us to terminate the employment of any person who refuses to file appropriate applications.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in many jurisdictions, any of our stockholders or holders of our debt securities may be required to file an application, be investigated, and qualify or have his, her or its suitability determined. For example, under Nevada gaming laws, each person who acquires, directly or indirectly, beneficial ownership of any voting security, or beneficial or record ownership of any non-voting security or any debt security in a public corporation which is registered with the Nevada Gaming Commission (the “Commission”), such as Caesars Entertainment Corporation, may be required to be found suitable if the Commission has reason to believe that his or her acquisition of that ownership, or his or her continued ownership in general, would be inconsistent with the declared public policy of Nevada, in the sole discretion of the Commission. Any person required by the Commission to be found suitable shall apply for a finding of suitability within 30 days after the Commission’s request that he or she should do so and, together with his or her application for suitability, deposit with the Nevada Gaming Control Board (the “Board”) a sum of money which, in the sole discretion of the Board, will be adequate to pay the anticipated costs and charges incurred in the investigation and processing of that application for suitability, and deposit such additional sums as are required by the Board to pay final costs and charges.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any person required by a gaming authority to be found suitable, who is found unsuitable by the gaming authority, shall not be able to hold directly or indirectly the beneficial ownership of any voting security or the beneficial or record ownership of any nonvoting security or any debt security of any public corporation which is registered with the gaming authority, such as Caesars Entertainment Corporation, beyond the time prescribed by the gaming authority. A violation of the foregoing may constitute a criminal offense. A finding of unsuitability by a particular gaming authority impacts that person’s ability to associate or affiliate with gaming licensees in that particular jurisdiction and could impact the person’s ability to associate or affiliate with gaming licensees in other jurisdictions.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96" w:name="page97"/>
    <w:bookmarkEnd w:id="96"/>
    <w:p>
      <w:pPr>
        <w:jc w:val="both"/>
        <w:spacing w:after="0" w:line="268" w:lineRule="auto"/>
        <w:rPr>
          <w:sz w:val="20"/>
          <w:szCs w:val="20"/>
          <w:color w:val="auto"/>
        </w:rPr>
      </w:pPr>
      <w:r>
        <w:rPr>
          <w:rFonts w:ascii="Arial" w:cs="Arial" w:eastAsia="Arial" w:hAnsi="Arial"/>
          <w:sz w:val="17"/>
          <w:szCs w:val="17"/>
          <w:color w:val="auto"/>
        </w:rPr>
        <w:t>Many jurisdictions also require any person who acquires beneficial ownership of more than a certain percentage of our voting securities and, in some jurisdictions, our non-voting securities, typically 5%, to report the acquisition to gaming authorities, and gaming authorities may require such holders to apply for qualification or a finding of suitability. Most gaming authorities, however, allow an “institutional investor” to apply for a waiver that allows the “institutional investor” to acquire, in most cases, up to 15% of our voting securities without applying for qualification or a finding of suitability. An “institutional investor” is generally defined as an investor acquiring and holding voting securities in the ordinary course of business as an institutional investor, and not for the purpose of causing, directly or indirectly, the election of a majority of the members of our board of directors, any change in our corporate charter, bylaws, management, policies or operations, or those of any of our gaming affiliates, or the taking of any other action which gaming authorities find to be inconsistent with holding our voting securities for investment purposes only. An application for a waiver as an institutional investor requires the submission of detailed information about the company and its regulatory filings, the name of each person that beneficially owns more than 5% of the institutional investor’s voting securities or other equivalent and a certification made under oath or penalty for perjury, that the voting securities were acquired and are held for investment purposes only. Even if a waiver is granted, an institutional investor generally may not take any action inconsistent with its status when the waiver was granted without once again becoming subject to the foregoing reporting and application obligations. A change in the investment intent of an institutional investor must be reported to certain regulatory authorities immediately after its decision.</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Notwithstanding, each person who acquires directly or indirectly, beneficial ownership of any voting security, or beneficial or record ownership of any nonvoting security or any debt security in our company may be required to be found suitable if a gaming authority has reason to believe that such person’s acquisition of that ownership would otherwise be inconsistent with the declared policy of the jurisdiction.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any person who fails or refuses to apply for a finding of suitability or a license within the prescribed period after being advised it is required by gaming authorities may be denied a license or found unsuitable, as applicable. The same restrictions may also apply to a record owner if the record owner, after request, fails to identify the beneficial owner. Any person found unsuitable or denied a license and who holds, directly or indirectly, any beneficial ownership of our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w:t>
      </w:r>
    </w:p>
    <w:p>
      <w:pPr>
        <w:spacing w:after="0" w:line="22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that person any dividend or interest upon our voting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voting securities, including, if necessary, the immediate purchase of said voting securities for cash at fair market value.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many jurisdictions generally do not require the individual holders of debt securities such as notes to be investigated and found suitable, gaming authorities may nevertheless retain the discretion to do so for any reason, including but not limited to, a default, or where the holder of the debt instruments exercises a material influence over the gaming operations of the entity in question. Any holder of debt securities required to apply for a finding of suitability or otherwise qualify must generally pay all investigative fees and costs of the gaming authority in connection with such an investigation. If the gaming authority determines that a person is unsuitable to own a debt security, we may be subject to disciplinary action, including the loss of our approvals, if without the prior approval of the gaming authority, we:</w:t>
      </w:r>
    </w:p>
    <w:p>
      <w:pPr>
        <w:spacing w:after="0" w:line="13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to the unsuitable person any dividend, interest or any distribution whatsoever;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any voting right by the unsuitable person in connection with those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the unsuitable person remuneration in any form;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payment to the unsuitable person by way of principal, redemption, conversion, exchange, liquidation or similar transaction.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jurisdictions impose similar restrictions in connection with debt securities and retain the right to require holders of debt securities to apply for a license or otherwise be found suitable by the gaming authority.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New Jersey gaming laws, if a holder of our debt or equity securities is required to qualify, the holder may be required to file an application for qualification or divest itself of the securities. If the holder files an application for qualification, it must place the securities in trust with an approved trustee, which trust shall be effective but not operative, pending the gaming regulatory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97" w:name="page98"/>
    <w:bookmarkEnd w:id="97"/>
    <w:p>
      <w:pPr>
        <w:jc w:val="both"/>
        <w:spacing w:after="0" w:line="268" w:lineRule="auto"/>
        <w:rPr>
          <w:sz w:val="20"/>
          <w:szCs w:val="20"/>
          <w:color w:val="auto"/>
        </w:rPr>
      </w:pPr>
      <w:r>
        <w:rPr>
          <w:rFonts w:ascii="Arial" w:cs="Arial" w:eastAsia="Arial" w:hAnsi="Arial"/>
          <w:sz w:val="17"/>
          <w:szCs w:val="17"/>
          <w:color w:val="auto"/>
        </w:rPr>
        <w:t>authorities’ consideration of interim authorization. If the gaming regulatory authorities approve interim authorization, and while the application for plenary qualification is pending, such holder may, through the approved trustee, continue to exercise all rights incident to the ownership of the securities. If the gaming regulatory authorities deny interim authorization, the trust shall become operative and the trustee shall have the authority to exercise all the rights incident to ownership, including the authority to dispose of the securities and the security holder shall have no right to participate in casino earnings and may only receive a return on its investment in an amount not to exceed the actual cost of the investment (as defined by New Jersey gaming laws). If the security holder obtains interim authorization but the gaming authorities later find reasonable cause to believe that the security holder may be found unqualified, the trust shall become operative and the trustee shall have the authority to exercise all rights incident to ownership pending a determination on such holder’s qualifications. However, during the period the securities remain in trust, the security holder may petition the New Jersey gaming authorities to direct the trustee to dispose of the trust property and distribute proceeds of the trust to the security holder in an amount not to exceed the lower of the actual cost of the investment or the value of the securities on the date the trust became operative. If the security holder is ultimately found unqualified, the trustee is required to sell the securities and to distribute the proceeds of the sale to the applicant in an amount not exceeding the lower of the actual cost of the investment or the value of the securities on the date the trust became operative and to distribute any remaining proceeds to the state. If the security holder is found qualified, the trust agreement will be terminated.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following the Reclassification, the Certificate of Incorporation of Caesars Entertainment Corporation contains provisions establishing the right to redeem the securities of disqualified holders if necessary to avoid any regulatory sanctions, to prevent the loss or to secure the reinstatement of any license or franchise, or if such holder is determined by any gaming regulatory agency to be unsuitable, has an application for a license or permit denied or rejected, or has a previously issued license or permit rescinded, suspended, revoked or not renewed. The Certificate of Incorporation also contains provisions defining the redemption price and the rights of a disqualified security holder. In the event a security holder is disqualified, the New Jersey gaming authorities are empowered to propose any necessary action to protect the public interest, including the suspension or revocation of the licenses for the casinos we own in New Jersey.</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Many jurisdictions also require that manufacturers and distributors of gaming equipment and suppliers of certain goods and services to gaming industry participants be licensed and require us to purchase and lease gaming equipment, supplies and services only from licensed suppliers.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Gaming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Furthermore, violations of laws in one jurisdiction could result in disciplinary action in other jurisdictions. As a result, violations by us of applicable gaming laws could have a material adverse effect on our financial condition, prospects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Recordkeeping Requirements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and Suspicious Activity Reports if the facts presented so warrant. Some jurisdictions require us to maintain a log that records aggregate cash transactions in the amount of $3,000 or more. We are required to maintain a current stock ledger which may be examined by gaming authorities at any time. We may also be required to disclose to gaming authorities upon request the identities of the holders of our debt or other securities. If any securities are held in trust by an agent or by a nominee, the record holder may be required to disclose the identity of the beneficial owner to gaming authorities. Failure to make such disclosure may be grounds for finding the record holder unsuitable. In Indiana, we are required to submit a quarterly report to gaming authorities disclosing the identity of all persons holding interests of 1% or greater in a riverboat licensee or holding company. Gaming authorities may also require certificates for our stock to bear a legend indicating that the securities are subject to specified gaming laws. In certain jurisdictions, gaming authorities have the power to impose additional restrictions on the holders of our securities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Transactions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or approved by, gaming authorities. Neither we nor any of our subsidiaries may make a public offering of securities without the prior approval of certain gaming authorities if the securities or the proceeds therefrom are intended to be used to construct, acquire or finance gaming facilities in such jurisdictions, or to retire or extend obligations incurred for such purposes. Such approval, if given, does not constitute a recommendation or approval of the investment merits of the securities subject to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18"/>
          <w:szCs w:val="18"/>
          <w:color w:val="auto"/>
        </w:rPr>
        <w:t>offering. Changes in control through merger, consolidation, stock or asset acquisitions, management or consulting agreements, or otherwise, require prior approval of gaming authorities in certain jurisdictions.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licenses under gaming laws are generally not transferable, we may not grant a security interest in our gaming licenses, and our ability to grant a security interest in any of our gaming assets is limited and may be subject to receipt of prior approval from gaming authorities.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 We are subject to extensive prior approval requirements relating to certain borrowings and security interests with respect to our New Orleans casino. If the holder of a security interest wishes operation of the casino to continue during and after the filing of a suit to enforce the security interest, it may request the appointment of a receiver approved by Louisiana gaming authorities, and under Louisiana gaming laws, the receiver is considered to have all our rights and obligations under our contract with Louisiana gaming authorities.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Some jurisdictions also require us to file a report with the gaming authority within a prescribed period of time following certain financial transactions and the offering of debt securities. Were they to deem it appropriate, certain gaming authorities reserve the right to order such transactions rescinded.</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93" w:lineRule="exact"/>
        <w:rPr>
          <w:sz w:val="20"/>
          <w:szCs w:val="20"/>
          <w:color w:val="auto"/>
        </w:rPr>
      </w:pPr>
    </w:p>
    <w:p>
      <w:pPr>
        <w:ind w:right="740"/>
        <w:spacing w:after="0" w:line="465" w:lineRule="auto"/>
        <w:rPr>
          <w:sz w:val="20"/>
          <w:szCs w:val="20"/>
          <w:color w:val="auto"/>
        </w:rPr>
      </w:pPr>
      <w:r>
        <w:rPr>
          <w:rFonts w:ascii="Arial" w:cs="Arial" w:eastAsia="Arial" w:hAnsi="Arial"/>
          <w:sz w:val="18"/>
          <w:szCs w:val="18"/>
          <w:color w:val="auto"/>
        </w:rPr>
        <w:t xml:space="preserve">Certain jurisdictions require that an independent audit committee oversee the functions of surveillance and internal audit departments at our casinos. </w:t>
      </w:r>
      <w:r>
        <w:rPr>
          <w:rFonts w:ascii="Arial" w:cs="Arial" w:eastAsia="Arial" w:hAnsi="Arial"/>
          <w:sz w:val="18"/>
          <w:szCs w:val="18"/>
          <w:b w:val="1"/>
          <w:bCs w:val="1"/>
          <w:i w:val="1"/>
          <w:iCs w:val="1"/>
          <w:color w:val="auto"/>
        </w:rPr>
        <w:t>License Fees and Gaming Taxes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pay substantial license fees, contributions to responsible gaming programs, and taxes in many jurisdictions, including the counties, cities, and any related agencies, boards, commissions, or authorities, in which our operations are conducted, in connection with our casino gaming operations, computed in various ways depending on the type of gaming or activity involved. Depending upon the particular fee or tax involved, these fees and taxes are payable either daily, monthly, quarterly or annually. License fees and taxes are based upon such factors as:</w:t>
      </w:r>
    </w:p>
    <w:p>
      <w:pPr>
        <w:spacing w:after="0" w:line="13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percentage of the gross revenues received;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franchise fees for riverboat casinos operating on certain waterways.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many jurisdictions, gaming tax rates are graduated with the effect of increasing as gross revenues increase. Furthermore, tax rates are subject to change, sometimes with little notice, and we have recently experienced tax rate increases in a number of jurisdictions in which we operate. A live entertainment tax is also paid in certain jurisdictions by casino operations where entertainment is furnished in connection with the selling or serving of food or refreshments or the selling of merchandise.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99" w:name="page100"/>
    <w:bookmarkEnd w:id="99"/>
    <w:p>
      <w:pPr>
        <w:ind w:left="40"/>
        <w:spacing w:after="0"/>
        <w:rPr>
          <w:sz w:val="20"/>
          <w:szCs w:val="20"/>
          <w:color w:val="auto"/>
        </w:rPr>
      </w:pPr>
      <w:r>
        <w:rPr>
          <w:rFonts w:ascii="Arial" w:cs="Arial" w:eastAsia="Arial" w:hAnsi="Arial"/>
          <w:sz w:val="18"/>
          <w:szCs w:val="18"/>
          <w:b w:val="1"/>
          <w:bCs w:val="1"/>
          <w:i w:val="1"/>
          <w:iCs w:val="1"/>
          <w:color w:val="auto"/>
        </w:rPr>
        <w:t>Operational Requirements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many jurisdictions, we are subject to certain requirements and restrictions on how we must conduct our gaming operations. In many jurisdictions, we are required to give preference to local suppliers and include minority-owned and women-owned businesses in construction projects to the maximum extent practicable.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jurisdictions also require us to give preferences to local residents for employment and to minority-owned and women-owned businesses in the procurement of goods and services. Some of our operations are subject to restrictions on the number of gaming positions we may have, the minimum or maximum wagers allowed by our customers, and the maximum loss a customer may incur within specified time periods.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land-based casino in New Orleans operates under a casino operating contract (the “COC”) with the State of Louisiana by and through the Louisiana Gaming Control Board, which assumed the regulatory authority, control and jurisdiction from the Louisiana Economic Development Control Board pursuant to Louisiana Revised Statute 27:31.</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COC, which extends until 2024, our New Orleans casino is subject to not only many of the foregoing operational requirements, but also to restrictions on our food and beverage operations, including with respect to the size, location and marketing of eating establishments at our casino entertainment facility. Furthermore, with respect to the hotel tower, we are subject to restrictions on the number of rooms within the hotel, the amount of meeting space within the hotel and how we may market and advertise the rates we charge for rooms.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Mississippi, we are required to include adequate parking facilities (generally 500 spaces or more) in close proximity to our existing casino complexes, as well as infrastructure facilities, such as hotels, that will amount to at least 25% of the casino cost. Amendments to the Mississippi gaming regulations impose additional non-gaming infrastructure requirements on new casino projects in Mississippi.</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comply with requirements of Iowa gaming laws, we (through Harveys BR Management Company, Inc.) have entered into a management agreement with Iowa West Racing Association, a non-profit organization that is the licensee, with regard to the operation of Horseshoe Casino Council Bluffs. Further, Iowa West Racing Association and Harveys Iowa Management Company LLC have entered into an operating agreement and in reliance on that agreement, the Iowa Racing and Gaming Commission has issued a license to Iowa West Racing Association as a qualified sponsoring organization to conduct gambling games and to Harveys Iowa Management Company LLC to operate gambling games at Harrah’s Council Bluffs Casino &amp; Hotel, which was an excursion gambling boat, but is now a full-service, land-based casino. Both the management agreement at Horseshoe Casino Council Bluffs and the operating agreement at Harrah’s Council Bluffs Casino &amp; Hotel are for specific terms with certain options to extend.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United Kingdom Gambling Act of 2005 which became effective in September 2007, replaced the Gaming Act 1968, and removed most of the restrictions on adverting. Though the 2005 Act controls marketing, advertising gambling is now controlled by the Advertising Standards Authority through a series of codes of practice. Known as the CAP codes, the codes offer guidance on the content of print, television and radio advertisements.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Indian Gaming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 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Indian Community’s casino, a Tribal-State Compact Gaming Resource Supplier Finding of Suitability from the California Gambling Control Commission in connection with management of the Rincon San Luiseno Band of Indians casino, and have been licensed by the relevant tribal gaming authorities to manage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Ak-Chin Indian Community’s casino, the Eastern Band of Cherokee Indians’ casino and the Rincon San Luiseno Band of Indians’ casino, respectively.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IGRA requires NIGC approval of management contracts for Class II and Class III gaming as well as the review of all agreements collateral to the management contracts. Management contracts which are not so approved are void.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contracts can be modified or canceled pursuant to an enforcement action taken by the NIGC based on a violation of the law or an issue affecting suitability.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Riverboat Casinos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all other regulations applicable to the gaming industry generally, some of our riverboat casinos are also subject to regulations applicable to vessels operating on navigable waterways, including regulations of the U.S. Coast Guard and/or inspection and oversight by a third-party inspector. These requirements set limits on the operation of the vessel, mandate that it must be operated by a minimum complement of licensed personnel, establish periodic inspections, including the physical inspection of the outside hull, and establish other mechanical and operational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Racetracks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the acquisition of Centaur on July 16, 2018, we acquired Hoosier Park Racing &amp; Casino (renamed Harrah’s Hoosier Park) which offers standardbred racing in Anderson, Indiana, and Indiana Grand Racing &amp; Casino which offers thoroughbred racing in Shelbyville, Indiana. The properties are regulated by the Indiana Horse Racing Commission for racing and the Indiana Gaming Commission for the gambling games. We operate slot machines and live horse racing at a racetrack in Bossier City, Louisiana. We own a combination harness racetrack and casino in southeastern Pennsylvania in which the company, through various subsidiary entities, owns a 99.5% interest in the entity licensed by the Pennsylvania Gaming Control Board. In Kentucky, we own and operate Bluegrass Downs, a harness racetrack located in Paducah. In addition to laws and regulations affecting the slot machine and other gaming operations at these tracks, there exist extensive laws and regulations governing the operation of racetracks and the horse races that are run at those tracks. Regulation of horse racing is typically administered separately from our other gaming operations, with separate licenses and license fee structures. Racing regulations may limit or dictate the number of days on which races may be or must be held. Additionally, in Louisiana, the operation of our slot machines at the racetrack is contingent upon us holding a valid license to hold live horse racing meets.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Internet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recent years, Caesars Interactive Entertainment, LLC has entered into license agreements with third parties for the use of the World Series of Poker brand on online gaming websites in Italy and France. In addition, the State of Nevada legalized real money online internet poker within the State. The Nevada Gaming Commission adopted regulations and established licensing requirements for the operation of real money online internet poker in the State of Nevada. Caesars Interactive Entertainment, LLC obtained the appropriate licenses in Nevada, and pursuant to a relationship with a third-party software provider, operation of its real money website began in September 2013. The State of New Jersey also legalized real money online internet gaming within the State. The New Jersey regulators adopted regulations and established licensing requirements for the operation of real money online internet gaming in the State of New Jersey. Caesars Interactive Entertainment New Jersey, LLC, a wholly owned subsidiary of Caesars Interactive Entertainment, LLC, obtained a casino license and was issued an Internet Gaming Permit, pursuant to relationships with two third software providers, operation of its real money websites began in November 2013.</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gaming and other laws and regulations to which we are subject could change or could be interpreted differently in the future, or new laws and regulations could be enacted. For example, in 2018, the U.S. Department of Justice (the “DOJ”) reversed its previously-issued opinion published in 2011, which stated that interstate transmissions of wire communications that do not relate to a “sporting event or contest” fall outside the purview of the Wire Act of 1961 (the “Wire Act”). The DOJ’s updated opinion, which is still being evaluated by industry members, concluded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lowerLetter"/>
      <w:start w:val="4"/>
    </w:lvl>
  </w:abstractNum>
  <w:abstractNum w:abstractNumId="1">
    <w:nsid w:val="2CA88611"/>
    <w:multiLevelType w:val="hybridMultilevel"/>
    <w:lvl w:ilvl="0">
      <w:lvlJc w:val="left"/>
      <w:lvlText w:val="(%1)"/>
      <w:numFmt w:val="lowerRoman"/>
      <w:start w:val="1"/>
    </w:lvl>
  </w:abstractNum>
  <w:abstractNum w:abstractNumId="2">
    <w:nsid w:val="836C40E"/>
    <w:multiLevelType w:val="hybridMultilevel"/>
    <w:lvl w:ilvl="0">
      <w:lvlJc w:val="left"/>
      <w:lvlText w:val="(%1)"/>
      <w:numFmt w:val="lowerRoman"/>
      <w:start w:val="4"/>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amp;"/>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Letter"/>
      <w:start w:val="2"/>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decimal"/>
      <w:start w:val="14"/>
    </w:lvl>
  </w:abstractNum>
  <w:abstractNum w:abstractNumId="44">
    <w:nsid w:val="579478FE"/>
    <w:multiLevelType w:val="hybridMultilevel"/>
    <w:lvl w:ilvl="0">
      <w:lvlJc w:val="left"/>
      <w:lvlText w:val="†"/>
      <w:numFmt w:val="bullet"/>
      <w:start w:val="1"/>
    </w:lvl>
    <w:lvl w:ilvl="1">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7"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22" Type="http://schemas.openxmlformats.org/officeDocument/2006/relationships/hyperlink" Target="http://www.sec.gov/Archives/edgar/data/858339/000119312516644920/d201126dex21.htm" TargetMode="External"/><Relationship Id="rId23" Type="http://schemas.openxmlformats.org/officeDocument/2006/relationships/hyperlink" Target="http://www.sec.gov/Archives/edgar/data/858339/000119312517049256/d351116dex21.htm" TargetMode="External"/><Relationship Id="rId24" Type="http://schemas.openxmlformats.org/officeDocument/2006/relationships/hyperlink" Target="http://www.sec.gov/Archives/edgar/data/858339/000085833918000057/a2017q4crcex992-cerpxcgphm.htm" TargetMode="External"/><Relationship Id="rId25" Type="http://schemas.openxmlformats.org/officeDocument/2006/relationships/hyperlink" Target="http://www.sec.gov/Archives/edgar/data/858339/000119312518216468/d317678dex21.htm" TargetMode="External"/><Relationship Id="rId26" Type="http://schemas.openxmlformats.org/officeDocument/2006/relationships/hyperlink" Target="http://www.sec.gov/Archives/edgar/data/858339/000119312518216468/d317678dex22.htm" TargetMode="External"/><Relationship Id="rId27" Type="http://schemas.openxmlformats.org/officeDocument/2006/relationships/hyperlink" Target="http://www.sec.gov/Archives/edgar/data/1635863/000163586315000008/cgph-ex31amendedandrestate.htm" TargetMode="External"/><Relationship Id="rId28" Type="http://schemas.openxmlformats.org/officeDocument/2006/relationships/hyperlink" Target="http://www.sec.gov/Archives/edgar/data/858339/000085833918000057/a2017q4crcex993-mergerandn.htm" TargetMode="External"/><Relationship Id="rId29" Type="http://schemas.openxmlformats.org/officeDocument/2006/relationships/hyperlink" Target="http://www.sec.gov/Archives/edgar/data/858339/000085833918000057/a2017q4crcex994-crcamended.htm" TargetMode="External"/><Relationship Id="rId30" Type="http://schemas.openxmlformats.org/officeDocument/2006/relationships/hyperlink" Target="http://www.sec.gov/Archives/edgar/data/858339/000119312517310774/d466106dex41.htm" TargetMode="External"/><Relationship Id="rId31" Type="http://schemas.openxmlformats.org/officeDocument/2006/relationships/hyperlink" Target="http://www.sec.gov/Archives/edgar/data/858339/000119312517377212/d470148dex41.htm" TargetMode="External"/><Relationship Id="rId32" Type="http://schemas.openxmlformats.org/officeDocument/2006/relationships/hyperlink" Target="http://www.sec.gov/Archives/edgar/data/858339/000119312517377212/d470148dex101.htm" TargetMode="External"/><Relationship Id="rId33" Type="http://schemas.openxmlformats.org/officeDocument/2006/relationships/hyperlink" Target="http://www.sec.gov/Archives/edgar/data/858339/000119312517310774/d466106dex101.htm" TargetMode="External"/><Relationship Id="rId34" Type="http://schemas.openxmlformats.org/officeDocument/2006/relationships/hyperlink" Target="http://www.sec.gov/Archives/edgar/data/1610979/000119312514372931/d778108dex106.htm" TargetMode="External"/><Relationship Id="rId35" Type="http://schemas.openxmlformats.org/officeDocument/2006/relationships/hyperlink" Target="http://www.sec.gov/Archives/edgar/data/858339/000119312514207470/d729024dex991.htm" TargetMode="External"/><Relationship Id="rId36" Type="http://schemas.openxmlformats.org/officeDocument/2006/relationships/hyperlink" Target="http://www.sec.gov/Archives/edgar/data/858339/000085833918000052/a2017q4cecex1043-eastsidep.htm" TargetMode="External"/><Relationship Id="rId37" Type="http://schemas.openxmlformats.org/officeDocument/2006/relationships/hyperlink" Target="http://www.sec.gov/Archives/edgar/data/858339/000085833918000052/a2017q4cecex1044-amendedan.htm" TargetMode="External"/><Relationship Id="rId38" Type="http://schemas.openxmlformats.org/officeDocument/2006/relationships/hyperlink" Target="http://www.sec.gov/Archives/edgar/data/858339/000085833918000052/a2017q4cecex1045-putxcallr.htm" TargetMode="External"/><Relationship Id="rId39" Type="http://schemas.openxmlformats.org/officeDocument/2006/relationships/hyperlink" Target="http://www.sec.gov/Archives/edgar/data/858339/000085833918000052/a2017q4cecex1048-hlvpurcha.htm" TargetMode="External"/><Relationship Id="rId40" Type="http://schemas.openxmlformats.org/officeDocument/2006/relationships/hyperlink" Target="http://www.sec.gov/Archives/edgar/data/858339/000085833918000052/a2017q4cecex1049-guarantyo.htm" TargetMode="External"/><Relationship Id="rId41" Type="http://schemas.openxmlformats.org/officeDocument/2006/relationships/hyperlink" Target="http://www.sec.gov/Archives/edgar/data/858339/000119312517309911/d474419dex1012.htm" TargetMode="External"/><Relationship Id="rId42" Type="http://schemas.openxmlformats.org/officeDocument/2006/relationships/hyperlink" Target="http://www.sec.gov/Archives/edgar/data/858339/000085833918000052/a2017q4cecex1042-centaurpu.htm" TargetMode="External"/><Relationship Id="rId43" Type="http://schemas.openxmlformats.org/officeDocument/2006/relationships/hyperlink" Target="http://www.sec.gov/Archives/edgar/data/858339/000085833918000214/a2018q2cecex102-amendmentt.htm" TargetMode="External"/><Relationship Id="rId44" Type="http://schemas.openxmlformats.org/officeDocument/2006/relationships/hyperlink" Target="http://www.sec.gov/Archives/edgar/data/858339/000085833918000214/a2018q2cecex103-secondamen.htm" TargetMode="External"/><Relationship Id="rId45" Type="http://schemas.openxmlformats.org/officeDocument/2006/relationships/hyperlink" Target="http://www.sec.gov/Archives/edgar/data/858339/000085833918000214/a2018q2cecex104-assignment.htm" TargetMode="External"/><Relationship Id="rId46" Type="http://schemas.openxmlformats.org/officeDocument/2006/relationships/hyperlink" Target="http://www.sec.gov/Archives/edgar/data/858339/000119312518358129/d66730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2019-12-28T15:59:36Z</dcterms:created>
  <dcterms:modified xsi:type="dcterms:W3CDTF">2019-12-28T15:59:36Z</dcterms:modified>
</cp:coreProperties>
</file>