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6527d8k.htm"/>
      <w:bookmarkStart w:id="1" w:name="ksd15652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September 15,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CAESARS ENTERTAINMENT,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70" w:type="dxa"/>
        <w:jc w:val="left"/>
        <w:tblInd w:w="0" w:type="dxa"/>
        <w:tblLayout w:type="fixed"/>
        <w:tblCellMar>
          <w:top w:w="0" w:type="dxa"/>
          <w:left w:w="0" w:type="dxa"/>
          <w:bottom w:w="0" w:type="dxa"/>
          <w:right w:w="0" w:type="dxa"/>
        </w:tblCellMar>
      </w:tblPr>
      <w:tblGrid>
        <w:gridCol w:w="1985"/>
        <w:gridCol w:w="60"/>
        <w:gridCol w:w="1385"/>
        <w:gridCol w:w="60"/>
        <w:gridCol w:w="188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001-36629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46-3657681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100 West Liberty Street, 12th Floor, Reno, Nevada 89501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80" w:after="0"/>
        <w:jc w:val="center"/>
        <w:rPr>
          <w:rFonts w:ascii="Times New Roman" w:hAnsi="Times New Roman"/>
          <w:b/>
          <w:sz w:val="20"/>
        </w:rPr>
      </w:pPr>
      <w:r>
        <w:rPr>
          <w:rFonts w:ascii="Times New Roman" w:hAnsi="Times New Roman"/>
          <w:b/>
          <w:sz w:val="20"/>
        </w:rPr>
        <w:t>(775) 328-0100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690" w:type="dxa"/>
        <w:jc w:val="left"/>
        <w:tblInd w:w="0" w:type="dxa"/>
        <w:tblLayout w:type="fixed"/>
        <w:tblCellMar>
          <w:top w:w="0" w:type="dxa"/>
          <w:left w:w="0" w:type="dxa"/>
          <w:bottom w:w="0" w:type="dxa"/>
          <w:right w:w="0" w:type="dxa"/>
        </w:tblCellMar>
      </w:tblPr>
      <w:tblGrid>
        <w:gridCol w:w="3425"/>
        <w:gridCol w:w="60"/>
        <w:gridCol w:w="740"/>
        <w:gridCol w:w="60"/>
        <w:gridCol w:w="2405"/>
      </w:tblGrid>
      <w:tr>
        <w:trPr/>
        <w:tc>
          <w:tcPr>
            <w:tcW w:w="3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34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4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25" w:type="dxa"/>
            <w:tcBorders/>
            <w:vAlign w:val="center"/>
          </w:tcPr>
          <w:p>
            <w:pPr>
              <w:pStyle w:val="TableContents"/>
              <w:bidi w:val="0"/>
              <w:spacing w:before="0" w:after="283"/>
              <w:jc w:val="center"/>
              <w:rPr/>
            </w:pPr>
            <w:r>
              <w:rPr/>
              <w:t>Common stock, $0.00001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CZR</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pPr>
            <w:r>
              <w:rPr/>
              <w:t>NASDAQ Stock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May 27, 2026, Caesars Entertainment, Inc. (the “Company”), Fertitta Gaming Holdco, LLC, a Nevada limited liability company (“Fertitta Entertainment”), Empire Merger Sub, Inc., a Delaware corporation and direct wholly owned subsidiary of Fertitta Entertainment (“Merger Sub”), Landry’s Fertitta, LLC, a Texas limited liability company (“Guarantor”) solely for the purposes of Section 9.14 therein, and Hospitality Headquarters, Inc., a Texas corporation, solely for the purposes of Section 9.14(j) therein, entered into an Agreement and Plan of Merger (the “Merger Agreement”), pursuant to which Merger Sub will merge with and into the Company, with the Company continuing as the surviving corporation and direct wholly owned subsidiary of Fertitta Entertainment (the “Merger”).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2026, the Company received a demand letter (the “Demand Letter”) from a purported stockholder of the Company. The Demand Letter seeks to inspect certain books and records of the Company pursuant to Section 220 of the General Corporation Law of the State of Delaware and alleges, among other things, that the Company’s definitive proxy statement on Schedule 14A filed with the U.S. Securities and Exchange Commission (the “SEC”) on August 25, 2026 (the “Definitive Proxy Statement”) omits material information regarding the engagement of the Company’s outside legal counsel Latham &amp; Watkins LLP (“Latham”), including concurrent representations by such counsel of Fertitta Entertainment and its affiliates in matters unrelated to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the claims asserted in the Demand Letter are without merit, immaterial, and that no further disclosure is required under applicable law. However, in order to avoid the risk of the Demand Letter delaying or adversely affecting the Merger and to minimize the costs, risks and uncertainties inherent in litigation, and without admitting any liability or wrongdoing, the Company has determined to voluntarily supplement the Definitive Proxy Statement as described in this Current Report on Form 8-K (this “Current Report”). Nothing in this Current Report shall be deemed an admission of the legal necessity or materiality under applicable laws of any of the disclosures set forth herein. To the contrary, the Company specifically denies all allegations in the Demand Letter that any additional disclosure was or is required.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Supplemental Disclosures to the Definitive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The supplemental information contained in this Current Report supplements the disclosures contained in the Definitive Proxy Statement, which should be read in its entirety. Terms used but not defined herein have the meanings ascribed to them in the Definitive Proxy Statement. Without admitting in any way that the disclosures set forth below are material or otherwise required to be disclosed under applicable law, the Company is making the following supplemental disclosures. </w:t>
      </w:r>
    </w:p>
    <w:p>
      <w:pPr>
        <w:pStyle w:val="TextBody"/>
        <w:bidi w:val="0"/>
        <w:spacing w:before="360" w:after="0"/>
        <w:jc w:val="left"/>
        <w:rPr>
          <w:rFonts w:ascii="Times New Roman" w:hAnsi="Times New Roman"/>
          <w:i/>
          <w:sz w:val="20"/>
        </w:rPr>
      </w:pPr>
      <w:r>
        <w:rPr>
          <w:rFonts w:ascii="Times New Roman" w:hAnsi="Times New Roman"/>
          <w:i/>
          <w:sz w:val="20"/>
        </w:rPr>
        <w:t xml:space="preserve">Engagement of the Company’s Outside Legal Counsel </w:t>
      </w:r>
    </w:p>
    <w:p>
      <w:pPr>
        <w:pStyle w:val="TextBody"/>
        <w:bidi w:val="0"/>
        <w:spacing w:before="120" w:after="0"/>
        <w:jc w:val="left"/>
        <w:rPr>
          <w:rFonts w:ascii="Times New Roman" w:hAnsi="Times New Roman"/>
          <w:sz w:val="20"/>
        </w:rPr>
      </w:pPr>
      <w:r>
        <w:rPr>
          <w:rFonts w:ascii="Times New Roman" w:hAnsi="Times New Roman"/>
          <w:sz w:val="20"/>
        </w:rPr>
        <w:t xml:space="preserve">Latham serves as the Company’s outside legal counsel in connection with the sale process and the Merger. A separate team of Latham attorneys has represented, and continues to represent, Tilman J. Fertitta and/or certain of his affiliates in matters unrelated to the Merger and to the Company. The legal fees paid or payable to Latham in connection with these unrelated matters are significantly less than the fees expected to be paid to Latham by the Company in connection with the Merger.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Certain Information Regarding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and executive officers may be deemed to be participants in the solicitation of proxies from its stockholders in respect of the proposed transaction under the rules of the SEC. Information regarding the persons who may, under the rules of the SEC, be considered to be participants in the solicitation of the Company’s stockholders in connection with the proposed transaction is set forth in the Definitive Proxy Statement. You may also find additional information regarding the names, affiliations and interests of the Company’s directors and executive officers in the Company’s Annual Report on Form 10-K for the year ended December 31, 2025, which was filed with the SEC on February 17, 2026, the Company’s definitive proxy statement for its 2026 annual meeting of stockholders, which was filed with the SEC on April 23, 2026, and, to the extent holdings of the Company’s securities by its directors or executive officers have changed since the amounts set forth in the Company’s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Other information regarding the participants in the proxy solicitation and a description of their direct and indirect interests, by security holdings or otherwise, is contained in the Definitive Proxy Statement and other relevant materials filed with the SEC regarding the proposed transaction. Investors should read the Definitive Proxy Statement in its entirety before making any voting or investment decisions.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8190" w:type="dxa"/>
        <w:jc w:val="left"/>
        <w:tblInd w:w="0" w:type="dxa"/>
        <w:tblLayout w:type="fixed"/>
        <w:tblCellMar>
          <w:top w:w="0" w:type="dxa"/>
          <w:left w:w="0" w:type="dxa"/>
          <w:bottom w:w="0" w:type="dxa"/>
          <w:right w:w="0" w:type="dxa"/>
        </w:tblCellMar>
      </w:tblPr>
      <w:tblGrid>
        <w:gridCol w:w="2510"/>
        <w:gridCol w:w="60"/>
        <w:gridCol w:w="60"/>
        <w:gridCol w:w="60"/>
        <w:gridCol w:w="365"/>
        <w:gridCol w:w="60"/>
        <w:gridCol w:w="507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CAESARS ENTERTAINMENT,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22,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Edmund L. Quatmann, Jr.</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b/>
              </w:rPr>
            </w:pPr>
            <w:r>
              <w:rPr>
                <w:b/>
              </w:rPr>
              <w:t>Edmund L. Quatmann, Jr.</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b/>
              </w:rPr>
            </w:pPr>
            <w:r>
              <w:rPr>
                <w:b/>
              </w:rPr>
              <w:t>Chief Legal Officer, Executive Vice President and</w:t>
              <w:br/>
              <w:t>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1167</Words>
  <Characters>6496</Characters>
  <CharactersWithSpaces>7663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