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Bushore Michelle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CAESARS PALACE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CAESARS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CZR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EVP, Gen Counsel, Corp Secy</w:t>
      </w:r>
    </w:p>
    <w:p>
      <w:pPr>
        <w:spacing w:after="0" w:line="329"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8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88"/>
                <w:vertAlign w:val="subscript"/>
              </w:rPr>
              <w:t>7,679</w:t>
            </w:r>
            <w:r>
              <w:rPr>
                <w:rFonts w:ascii="Arial" w:cs="Arial" w:eastAsia="Arial" w:hAnsi="Arial"/>
                <w:sz w:val="11"/>
                <w:szCs w:val="11"/>
                <w:color w:val="008000"/>
                <w:w w:val="88"/>
              </w:rPr>
              <w:t>(1)(2)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1"/>
                <w:szCs w:val="11"/>
                <w:color w:val="008000"/>
              </w:rPr>
              <w:t>(1)(2)</w:t>
            </w:r>
          </w:p>
        </w:tc>
        <w:tc>
          <w:tcPr>
            <w:tcW w:w="120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7"/>
                <w:szCs w:val="17"/>
                <w:color w:val="0000FF"/>
              </w:rPr>
              <w:t>16,170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07/20/2020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16,170</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1"/>
                <w:szCs w:val="11"/>
                <w:color w:val="008000"/>
              </w:rPr>
              <w:t>(3)</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July 20, 2020, pursuant to that certain Agreement and Plan of Merger, dated as of June 24, 2019 (as amended by Amendment No. 1 to Agreement and Plan of Merger, dated as of August 15, 2019, the "Merger Agreement"), by and among Caesars Entertainment Corporation, a Delaware corporation (the "Company"), Eldorado Resorts, Inc., a Nevada corporation ("New Caesars") and Colt Merger Sub, Inc., a Delaware corporation and a wholly owned subsidiary of New Caesars ("Merger Sub"), Merger Sub merged with and into the Company (the "Merger").</w:t>
      </w:r>
    </w:p>
    <w:p>
      <w:pPr>
        <w:spacing w:after="0" w:line="8" w:lineRule="exact"/>
        <w:rPr>
          <w:rFonts w:ascii="Arial" w:cs="Arial" w:eastAsia="Arial" w:hAnsi="Arial"/>
          <w:sz w:val="12"/>
          <w:szCs w:val="12"/>
          <w:color w:val="008000"/>
        </w:rPr>
      </w:pPr>
    </w:p>
    <w:p>
      <w:pPr>
        <w:ind w:left="40" w:right="28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The Company stockholders were entitled to receive consideration per Company share equal to, at the election of the holder thereof and subject to the proration procedures described in the Merger Agreement, approximately $12.41 in cash or approximately 0.3085 shares of New Caesars Common Stock with a value equal to approximately $12.41 (based on the volume weighted average price per share of New Caesars Common Stock for the 10 trading days ending on July 16, 2020).</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time-vesting restricted stock units. Pursuant to the terms of the Merger Agreement, at the effective time of the Merger (the "Effective Time"), each such outstanding restricted stock unit was converted into a number of time-based restricted stock units in respect of shares of New Caesars common stock in an amount equal to (a) the per share merger consideration amount divided by (b) the volume weighted average price per share of New Caesars Common Stock for the 10 trading days ending on July 16,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Jill Eaton,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 on behalf of</w:t>
      </w:r>
      <w:r>
        <w:rPr>
          <w:sz w:val="20"/>
          <w:szCs w:val="20"/>
          <w:color w:val="auto"/>
        </w:rPr>
        <w:tab/>
      </w:r>
      <w:r>
        <w:rPr>
          <w:rFonts w:ascii="Arial" w:cs="Arial" w:eastAsia="Arial" w:hAnsi="Arial"/>
          <w:sz w:val="15"/>
          <w:szCs w:val="15"/>
          <w:color w:val="0000FF"/>
        </w:rPr>
        <w:t>07/22/2020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Michelle Bushore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9260" TargetMode="External"/><Relationship Id="rId14" Type="http://schemas.openxmlformats.org/officeDocument/2006/relationships/hyperlink" Target="http://www.sec.gov/cgi-bin/browse-edgar?action=getcompany&amp;CIK=0000858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2020-07-22T17:49:19Z</dcterms:created>
  <dcterms:modified xsi:type="dcterms:W3CDTF">2020-07-22T17:49:19Z</dcterms:modified>
</cp:coreProperties>
</file>