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SECURITIES AND EXCHANGE COMMISSION</w:t>
      </w:r>
    </w:p>
    <w:p>
      <w:pPr>
        <w:jc w:val="center"/>
        <w:spacing w:after="0"/>
        <w:rPr>
          <w:sz w:val="20"/>
          <w:szCs w:val="20"/>
          <w:color w:val="auto"/>
        </w:rPr>
      </w:pPr>
      <w:r>
        <w:rPr>
          <w:rFonts w:ascii="Arial" w:cs="Arial" w:eastAsia="Arial" w:hAnsi="Arial"/>
          <w:sz w:val="20"/>
          <w:szCs w:val="20"/>
          <w:color w:val="auto"/>
        </w:rPr>
        <w:t>Washington, D.C. 20549</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SCHEDULE 13G</w:t>
      </w:r>
    </w:p>
    <w:p>
      <w:pPr>
        <w:spacing w:after="0" w:line="244" w:lineRule="exact"/>
        <w:rPr>
          <w:sz w:val="24"/>
          <w:szCs w:val="24"/>
          <w:color w:val="auto"/>
        </w:rPr>
      </w:pPr>
    </w:p>
    <w:p>
      <w:pPr>
        <w:jc w:val="center"/>
        <w:spacing w:after="0" w:line="260" w:lineRule="auto"/>
        <w:rPr>
          <w:sz w:val="20"/>
          <w:szCs w:val="20"/>
          <w:color w:val="auto"/>
        </w:rPr>
      </w:pPr>
      <w:r>
        <w:rPr>
          <w:rFonts w:ascii="Arial" w:cs="Arial" w:eastAsia="Arial" w:hAnsi="Arial"/>
          <w:sz w:val="20"/>
          <w:szCs w:val="20"/>
          <w:color w:val="auto"/>
        </w:rPr>
        <w:t>INFORMATION STATEMENT TO BE INCLUDED IN STATEMENTS FILED PURSUANT TO RULES 13d-1 (b) (c) AND (d) AND AMENDMENTS THERETO FILED PURSUANT TO RULE 13d-2 (b)</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3)*</w:t>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0"/>
          <w:szCs w:val="20"/>
          <w:u w:val="single" w:color="auto"/>
          <w:color w:val="auto"/>
        </w:rPr>
        <w:t>Caesars Holdings, Inc.</w:t>
      </w:r>
      <w:r>
        <w:rPr>
          <w:rFonts w:ascii="Arial" w:cs="Arial" w:eastAsia="Arial" w:hAnsi="Arial"/>
          <w:sz w:val="32"/>
          <w:szCs w:val="32"/>
          <w:u w:val="single" w:color="auto"/>
          <w:color w:val="auto"/>
          <w:vertAlign w:val="superscript"/>
        </w:rPr>
        <w:t>1</w:t>
      </w:r>
    </w:p>
    <w:p>
      <w:pPr>
        <w:jc w:val="center"/>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u w:val="single" w:color="auto"/>
          <w:color w:val="auto"/>
        </w:rPr>
        <w:t>Common Stock</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u w:val="single" w:color="auto"/>
          <w:color w:val="auto"/>
        </w:rPr>
        <w:t>127686103</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u w:val="single" w:color="auto"/>
          <w:color w:val="auto"/>
        </w:rPr>
        <w:t>July 31, 2020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66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40" w:lineRule="exact"/>
        <w:rPr>
          <w:sz w:val="24"/>
          <w:szCs w:val="24"/>
          <w:color w:val="auto"/>
        </w:rPr>
      </w:pPr>
    </w:p>
    <w:p>
      <w:pPr>
        <w:ind w:left="1780" w:hanging="476"/>
        <w:spacing w:after="0"/>
        <w:tabs>
          <w:tab w:leader="none" w:pos="1780" w:val="left"/>
        </w:tabs>
        <w:numPr>
          <w:ilvl w:val="0"/>
          <w:numId w:val="1"/>
        </w:numPr>
        <w:rPr>
          <w:rFonts w:ascii="Arial" w:cs="Arial" w:eastAsia="Arial" w:hAnsi="Arial"/>
          <w:sz w:val="22"/>
          <w:szCs w:val="22"/>
          <w:color w:val="auto"/>
        </w:rPr>
      </w:pPr>
      <w:r>
        <w:rPr>
          <w:rFonts w:ascii="Arial" w:cs="Arial" w:eastAsia="Arial" w:hAnsi="Arial"/>
          <w:sz w:val="20"/>
          <w:szCs w:val="20"/>
          <w:color w:val="auto"/>
        </w:rPr>
        <w:t>Rule 13d-1(b)</w:t>
      </w:r>
    </w:p>
    <w:p>
      <w:pPr>
        <w:spacing w:after="0" w:line="249" w:lineRule="exact"/>
        <w:rPr>
          <w:sz w:val="24"/>
          <w:szCs w:val="24"/>
          <w:color w:val="auto"/>
        </w:rPr>
      </w:pPr>
    </w:p>
    <w:p>
      <w:pPr>
        <w:ind w:left="1840" w:hanging="536"/>
        <w:spacing w:after="0"/>
        <w:tabs>
          <w:tab w:leader="none" w:pos="1840" w:val="left"/>
        </w:tabs>
        <w:numPr>
          <w:ilvl w:val="0"/>
          <w:numId w:val="2"/>
        </w:numPr>
        <w:rPr>
          <w:rFonts w:ascii="MS PGothic" w:cs="MS PGothic" w:eastAsia="MS PGothic" w:hAnsi="MS PGothic"/>
          <w:sz w:val="22"/>
          <w:szCs w:val="22"/>
          <w:color w:val="auto"/>
        </w:rPr>
      </w:pPr>
      <w:r>
        <w:rPr>
          <w:rFonts w:ascii="Arial" w:cs="Arial" w:eastAsia="Arial" w:hAnsi="Arial"/>
          <w:sz w:val="20"/>
          <w:szCs w:val="20"/>
          <w:color w:val="auto"/>
        </w:rPr>
        <w:t>Rule 13d-(c)</w:t>
      </w:r>
    </w:p>
    <w:p>
      <w:pPr>
        <w:spacing w:after="0" w:line="268" w:lineRule="exact"/>
        <w:rPr>
          <w:rFonts w:ascii="MS PGothic" w:cs="MS PGothic" w:eastAsia="MS PGothic" w:hAnsi="MS PGothic"/>
          <w:sz w:val="22"/>
          <w:szCs w:val="22"/>
          <w:color w:val="auto"/>
        </w:rPr>
      </w:pPr>
    </w:p>
    <w:p>
      <w:pPr>
        <w:ind w:left="1840" w:hanging="536"/>
        <w:spacing w:after="0"/>
        <w:tabs>
          <w:tab w:leader="none" w:pos="1840" w:val="left"/>
        </w:tabs>
        <w:numPr>
          <w:ilvl w:val="0"/>
          <w:numId w:val="2"/>
        </w:numPr>
        <w:rPr>
          <w:rFonts w:ascii="MS PGothic" w:cs="MS PGothic" w:eastAsia="MS PGothic" w:hAnsi="MS PGothic"/>
          <w:sz w:val="22"/>
          <w:szCs w:val="22"/>
          <w:color w:val="auto"/>
        </w:rPr>
      </w:pPr>
      <w:r>
        <w:rPr>
          <w:rFonts w:ascii="Arial" w:cs="Arial" w:eastAsia="Arial" w:hAnsi="Arial"/>
          <w:sz w:val="20"/>
          <w:szCs w:val="20"/>
          <w:color w:val="auto"/>
        </w:rPr>
        <w:t>Rule 13d-1 (d)</w:t>
      </w:r>
    </w:p>
    <w:p>
      <w:pPr>
        <w:spacing w:after="0" w:line="200" w:lineRule="exact"/>
        <w:rPr>
          <w:sz w:val="24"/>
          <w:szCs w:val="24"/>
          <w:color w:val="auto"/>
        </w:rPr>
      </w:pPr>
    </w:p>
    <w:p>
      <w:pPr>
        <w:spacing w:after="0" w:line="246"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34" w:lineRule="exact"/>
        <w:rPr>
          <w:sz w:val="24"/>
          <w:szCs w:val="24"/>
          <w:color w:val="auto"/>
        </w:rPr>
      </w:pPr>
    </w:p>
    <w:p>
      <w:pPr>
        <w:jc w:val="both"/>
        <w:ind w:firstLine="8"/>
        <w:spacing w:after="0" w:line="220" w:lineRule="auto"/>
        <w:tabs>
          <w:tab w:leader="none" w:pos="118" w:val="left"/>
        </w:tabs>
        <w:numPr>
          <w:ilvl w:val="0"/>
          <w:numId w:val="3"/>
        </w:numPr>
        <w:rPr>
          <w:rFonts w:ascii="Arial" w:cs="Arial" w:eastAsia="Arial" w:hAnsi="Arial"/>
          <w:sz w:val="29"/>
          <w:szCs w:val="29"/>
          <w:color w:val="auto"/>
          <w:vertAlign w:val="superscript"/>
        </w:rPr>
      </w:pPr>
      <w:r>
        <w:rPr>
          <w:rFonts w:ascii="Arial" w:cs="Arial" w:eastAsia="Arial" w:hAnsi="Arial"/>
          <w:sz w:val="19"/>
          <w:szCs w:val="19"/>
          <w:color w:val="auto"/>
        </w:rPr>
        <w:t>Caesars Entertainment Corporation, a Delaware corporation, changed its name to Caesars Holdings, Inc. (“Caesars”), and on July 20, 2020, Caesars completed a merger transaction under which Caesars merged into Colt Merger Sub, Inc., a wholly-owned direct subsidiary of Caesars Entertainment, Inc. (formerly known as Eldorado Resorts, Inc.), a Delaware corporation.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1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127686103</w:t>
      </w: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600" w:type="dxa"/>
            <w:vAlign w:val="bottom"/>
            <w:tcBorders>
              <w:top w:val="single" w:sz="8" w:color="auto"/>
              <w:left w:val="single" w:sz="8" w:color="auto"/>
            </w:tcBorders>
            <w:vMerge w:val="restart"/>
          </w:tcPr>
          <w:p>
            <w:pPr>
              <w:jc w:val="right"/>
              <w:ind w:right="230"/>
              <w:spacing w:after="0"/>
              <w:rPr>
                <w:sz w:val="20"/>
                <w:szCs w:val="20"/>
                <w:color w:val="auto"/>
              </w:rPr>
            </w:pPr>
            <w:r>
              <w:rPr>
                <w:rFonts w:ascii="Arial" w:cs="Arial" w:eastAsia="Arial" w:hAnsi="Arial"/>
                <w:sz w:val="36"/>
                <w:szCs w:val="36"/>
                <w:color w:val="auto"/>
                <w:w w:val="89"/>
              </w:rPr>
              <w:t>1</w:t>
            </w:r>
          </w:p>
        </w:tc>
        <w:tc>
          <w:tcPr>
            <w:tcW w:w="220" w:type="dxa"/>
            <w:vAlign w:val="bottom"/>
            <w:tcBorders>
              <w:top w:val="single" w:sz="8" w:color="auto"/>
              <w:right w:val="single" w:sz="8" w:color="auto"/>
            </w:tcBorders>
          </w:tcPr>
          <w:p>
            <w:pPr>
              <w:spacing w:after="0"/>
              <w:rPr>
                <w:sz w:val="24"/>
                <w:szCs w:val="24"/>
                <w:color w:val="auto"/>
              </w:rPr>
            </w:pPr>
          </w:p>
        </w:tc>
        <w:tc>
          <w:tcPr>
            <w:tcW w:w="1042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42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8"/>
                <w:szCs w:val="18"/>
                <w:color w:val="auto"/>
              </w:rPr>
              <w:t>PACIFIC INVESTMENT MANAGEMENT COMPANY LLC</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420" w:type="dxa"/>
            <w:vAlign w:val="bottom"/>
            <w:tcBorders>
              <w:right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042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600" w:type="dxa"/>
            <w:vAlign w:val="bottom"/>
            <w:tcBorders>
              <w:left w:val="single" w:sz="8" w:color="auto"/>
            </w:tcBorders>
            <w:vMerge w:val="restart"/>
          </w:tcPr>
          <w:p>
            <w:pPr>
              <w:jc w:val="right"/>
              <w:ind w:right="230"/>
              <w:spacing w:after="0"/>
              <w:rPr>
                <w:sz w:val="20"/>
                <w:szCs w:val="20"/>
                <w:color w:val="auto"/>
              </w:rPr>
            </w:pPr>
            <w:r>
              <w:rPr>
                <w:rFonts w:ascii="Arial" w:cs="Arial" w:eastAsia="Arial" w:hAnsi="Arial"/>
                <w:sz w:val="36"/>
                <w:szCs w:val="36"/>
                <w:color w:val="auto"/>
                <w:w w:val="89"/>
              </w:rPr>
              <w:t>2</w:t>
            </w:r>
          </w:p>
        </w:tc>
        <w:tc>
          <w:tcPr>
            <w:tcW w:w="22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100"/>
              <w:spacing w:after="0" w:line="242" w:lineRule="exact"/>
              <w:rPr>
                <w:sz w:val="20"/>
                <w:szCs w:val="20"/>
                <w:color w:val="auto"/>
              </w:rPr>
            </w:pPr>
            <w:r>
              <w:rPr>
                <w:rFonts w:ascii="Arial" w:cs="Arial" w:eastAsia="Arial" w:hAnsi="Arial"/>
                <w:sz w:val="18"/>
                <w:szCs w:val="18"/>
                <w:color w:val="auto"/>
              </w:rPr>
              <w:t xml:space="preserve">CHECK THE APPROPRIATE BOX IF A MEMBER OF A GROUP (a)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vMerge w:val="continue"/>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6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vMerge w:val="restart"/>
          </w:tcPr>
          <w:p>
            <w:pPr>
              <w:jc w:val="right"/>
              <w:ind w:right="230"/>
              <w:spacing w:after="0"/>
              <w:rPr>
                <w:sz w:val="20"/>
                <w:szCs w:val="20"/>
                <w:color w:val="auto"/>
              </w:rPr>
            </w:pPr>
            <w:r>
              <w:rPr>
                <w:rFonts w:ascii="Arial" w:cs="Arial" w:eastAsia="Arial" w:hAnsi="Arial"/>
                <w:sz w:val="36"/>
                <w:szCs w:val="36"/>
                <w:color w:val="auto"/>
                <w:w w:val="89"/>
              </w:rPr>
              <w:t>3</w:t>
            </w:r>
          </w:p>
        </w:tc>
        <w:tc>
          <w:tcPr>
            <w:tcW w:w="220" w:type="dxa"/>
            <w:vAlign w:val="bottom"/>
            <w:tcBorders>
              <w:right w:val="single" w:sz="8" w:color="auto"/>
            </w:tcBorders>
          </w:tcPr>
          <w:p>
            <w:pPr>
              <w:spacing w:after="0"/>
              <w:rPr>
                <w:sz w:val="24"/>
                <w:szCs w:val="24"/>
                <w:color w:val="auto"/>
              </w:rPr>
            </w:pPr>
          </w:p>
        </w:tc>
        <w:tc>
          <w:tcPr>
            <w:tcW w:w="1680" w:type="dxa"/>
            <w:vAlign w:val="bottom"/>
            <w:tcBorders>
              <w:right w:val="single" w:sz="8" w:color="E5E5E5"/>
            </w:tcBorders>
            <w:shd w:val="clear" w:color="auto" w:fill="E5E5E5"/>
          </w:tcPr>
          <w:p>
            <w:pPr>
              <w:ind w:left="100"/>
              <w:spacing w:after="0"/>
              <w:rPr>
                <w:sz w:val="20"/>
                <w:szCs w:val="20"/>
                <w:color w:val="auto"/>
              </w:rPr>
            </w:pPr>
            <w:r>
              <w:rPr>
                <w:rFonts w:ascii="Arial" w:cs="Arial" w:eastAsia="Arial" w:hAnsi="Arial"/>
                <w:sz w:val="18"/>
                <w:szCs w:val="18"/>
                <w:color w:val="auto"/>
              </w:rPr>
              <w:t>SEC USE ONLY</w:t>
            </w:r>
          </w:p>
        </w:tc>
        <w:tc>
          <w:tcPr>
            <w:tcW w:w="780" w:type="dxa"/>
            <w:vAlign w:val="bottom"/>
            <w:tcBorders>
              <w:right w:val="single" w:sz="8" w:color="E5E5E5"/>
            </w:tcBorders>
            <w:shd w:val="clear" w:color="auto" w:fill="E5E5E5"/>
          </w:tcPr>
          <w:p>
            <w:pPr>
              <w:spacing w:after="0"/>
              <w:rPr>
                <w:sz w:val="24"/>
                <w:szCs w:val="24"/>
                <w:color w:val="auto"/>
              </w:rPr>
            </w:pPr>
          </w:p>
        </w:tc>
        <w:tc>
          <w:tcPr>
            <w:tcW w:w="7960" w:type="dxa"/>
            <w:vAlign w:val="bottom"/>
            <w:tcBorders>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Borders>
              <w:right w:val="single" w:sz="8" w:color="E5E5E5"/>
            </w:tcBorders>
            <w:shd w:val="clear" w:color="auto" w:fill="E5E5E5"/>
          </w:tcPr>
          <w:p>
            <w:pPr>
              <w:spacing w:after="0"/>
              <w:rPr>
                <w:sz w:val="18"/>
                <w:szCs w:val="18"/>
                <w:color w:val="auto"/>
              </w:rPr>
            </w:pPr>
          </w:p>
        </w:tc>
        <w:tc>
          <w:tcPr>
            <w:tcW w:w="780" w:type="dxa"/>
            <w:vAlign w:val="bottom"/>
            <w:tcBorders>
              <w:right w:val="single" w:sz="8" w:color="E5E5E5"/>
            </w:tcBorders>
            <w:shd w:val="clear" w:color="auto" w:fill="E5E5E5"/>
          </w:tcPr>
          <w:p>
            <w:pPr>
              <w:spacing w:after="0"/>
              <w:rPr>
                <w:sz w:val="18"/>
                <w:szCs w:val="18"/>
                <w:color w:val="auto"/>
              </w:rPr>
            </w:pPr>
          </w:p>
        </w:tc>
        <w:tc>
          <w:tcPr>
            <w:tcW w:w="796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E5E5E5"/>
            </w:tcBorders>
            <w:shd w:val="clear" w:color="auto" w:fill="E5E5E5"/>
          </w:tcPr>
          <w:p>
            <w:pPr>
              <w:spacing w:after="0"/>
              <w:rPr>
                <w:sz w:val="23"/>
                <w:szCs w:val="23"/>
                <w:color w:val="auto"/>
              </w:rPr>
            </w:pPr>
          </w:p>
        </w:tc>
        <w:tc>
          <w:tcPr>
            <w:tcW w:w="780" w:type="dxa"/>
            <w:vAlign w:val="bottom"/>
            <w:tcBorders>
              <w:bottom w:val="single" w:sz="8" w:color="auto"/>
              <w:right w:val="single" w:sz="8" w:color="E5E5E5"/>
            </w:tcBorders>
            <w:shd w:val="clear" w:color="auto" w:fill="E5E5E5"/>
          </w:tcPr>
          <w:p>
            <w:pPr>
              <w:spacing w:after="0"/>
              <w:rPr>
                <w:sz w:val="23"/>
                <w:szCs w:val="23"/>
                <w:color w:val="auto"/>
              </w:rPr>
            </w:pPr>
          </w:p>
        </w:tc>
        <w:tc>
          <w:tcPr>
            <w:tcW w:w="7960" w:type="dxa"/>
            <w:vAlign w:val="bottom"/>
            <w:tcBorders>
              <w:bottom w:val="single" w:sz="8" w:color="auto"/>
              <w:right w:val="single" w:sz="8" w:color="auto"/>
            </w:tcBorders>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0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36"/>
                <w:szCs w:val="36"/>
                <w:color w:val="auto"/>
                <w:w w:val="89"/>
              </w:rPr>
              <w:t>4</w:t>
            </w:r>
          </w:p>
        </w:tc>
        <w:tc>
          <w:tcPr>
            <w:tcW w:w="22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vMerge w:val="restart"/>
          </w:tcPr>
          <w:p>
            <w:pPr>
              <w:ind w:left="10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18"/>
                <w:szCs w:val="18"/>
                <w:color w:val="auto"/>
              </w:rPr>
            </w:pPr>
          </w:p>
        </w:tc>
        <w:tc>
          <w:tcPr>
            <w:tcW w:w="7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7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20" w:type="dxa"/>
            <w:vAlign w:val="bottom"/>
            <w:tcBorders>
              <w:left w:val="single" w:sz="8" w:color="auto"/>
              <w:bottom w:val="single" w:sz="8" w:color="auto"/>
              <w:right w:val="single" w:sz="8" w:color="auto"/>
            </w:tcBorders>
            <w:gridSpan w:val="2"/>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NUMBER OF SHARES</w:t>
            </w:r>
          </w:p>
        </w:tc>
        <w:tc>
          <w:tcPr>
            <w:tcW w:w="780" w:type="dxa"/>
            <w:vAlign w:val="bottom"/>
            <w:tcBorders>
              <w:right w:val="single" w:sz="8" w:color="auto"/>
            </w:tcBorders>
            <w:vMerge w:val="restart"/>
          </w:tcPr>
          <w:p>
            <w:pPr>
              <w:jc w:val="right"/>
              <w:ind w:right="140"/>
              <w:spacing w:after="0"/>
              <w:rPr>
                <w:sz w:val="20"/>
                <w:szCs w:val="20"/>
                <w:color w:val="auto"/>
              </w:rPr>
            </w:pPr>
            <w:r>
              <w:rPr>
                <w:rFonts w:ascii="Arial" w:cs="Arial" w:eastAsia="Arial" w:hAnsi="Arial"/>
                <w:sz w:val="36"/>
                <w:szCs w:val="36"/>
                <w:color w:val="auto"/>
              </w:rPr>
              <w:t>5</w:t>
            </w: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08"/>
              <w:spacing w:after="0"/>
              <w:rPr>
                <w:sz w:val="20"/>
                <w:szCs w:val="20"/>
                <w:color w:val="auto"/>
              </w:rPr>
            </w:pPr>
            <w:r>
              <w:rPr>
                <w:rFonts w:ascii="Arial" w:cs="Arial" w:eastAsia="Arial" w:hAnsi="Arial"/>
                <w:sz w:val="18"/>
                <w:szCs w:val="18"/>
                <w:color w:val="auto"/>
                <w:w w:val="99"/>
              </w:rPr>
              <w:t>BENEFICIALLY</w:t>
            </w:r>
          </w:p>
        </w:tc>
        <w:tc>
          <w:tcPr>
            <w:tcW w:w="780" w:type="dxa"/>
            <w:vAlign w:val="bottom"/>
            <w:tcBorders>
              <w:right w:val="single" w:sz="8" w:color="auto"/>
            </w:tcBorders>
            <w:vMerge w:val="continue"/>
          </w:tcPr>
          <w:p>
            <w:pPr>
              <w:spacing w:after="0"/>
              <w:rPr>
                <w:sz w:val="18"/>
                <w:szCs w:val="18"/>
                <w:color w:val="auto"/>
              </w:rPr>
            </w:pPr>
          </w:p>
        </w:tc>
        <w:tc>
          <w:tcPr>
            <w:tcW w:w="79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48"/>
        </w:trPr>
        <w:tc>
          <w:tcPr>
            <w:tcW w:w="600" w:type="dxa"/>
            <w:vAlign w:val="bottom"/>
            <w:tcBorders>
              <w:left w:val="single" w:sz="8" w:color="auto"/>
            </w:tcBorders>
          </w:tcPr>
          <w:p>
            <w:pPr>
              <w:spacing w:after="0"/>
              <w:rPr>
                <w:sz w:val="21"/>
                <w:szCs w:val="21"/>
                <w:color w:val="auto"/>
              </w:rPr>
            </w:pPr>
          </w:p>
        </w:tc>
        <w:tc>
          <w:tcPr>
            <w:tcW w:w="1900" w:type="dxa"/>
            <w:vAlign w:val="bottom"/>
            <w:tcBorders>
              <w:right w:val="single" w:sz="8" w:color="auto"/>
            </w:tcBorders>
            <w:gridSpan w:val="2"/>
          </w:tcPr>
          <w:p>
            <w:pPr>
              <w:jc w:val="center"/>
              <w:ind w:right="508"/>
              <w:spacing w:after="0"/>
              <w:rPr>
                <w:sz w:val="20"/>
                <w:szCs w:val="20"/>
                <w:color w:val="auto"/>
              </w:rPr>
            </w:pPr>
            <w:r>
              <w:rPr>
                <w:rFonts w:ascii="Arial" w:cs="Arial" w:eastAsia="Arial" w:hAnsi="Arial"/>
                <w:sz w:val="18"/>
                <w:szCs w:val="18"/>
                <w:color w:val="auto"/>
                <w:w w:val="95"/>
              </w:rPr>
              <w:t>OWNED BY</w:t>
            </w:r>
          </w:p>
        </w:tc>
        <w:tc>
          <w:tcPr>
            <w:tcW w:w="780" w:type="dxa"/>
            <w:vAlign w:val="bottom"/>
            <w:tcBorders>
              <w:right w:val="single" w:sz="8" w:color="auto"/>
            </w:tcBorders>
          </w:tcPr>
          <w:p>
            <w:pPr>
              <w:spacing w:after="0"/>
              <w:rPr>
                <w:sz w:val="21"/>
                <w:szCs w:val="21"/>
                <w:color w:val="auto"/>
              </w:rPr>
            </w:pPr>
          </w:p>
        </w:tc>
        <w:tc>
          <w:tcPr>
            <w:tcW w:w="79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tcBorders>
              <w:right w:val="single" w:sz="8" w:color="auto"/>
            </w:tcBorders>
            <w:vMerge w:val="restart"/>
          </w:tcPr>
          <w:p>
            <w:pPr>
              <w:jc w:val="center"/>
              <w:ind w:right="728"/>
              <w:spacing w:after="0"/>
              <w:rPr>
                <w:sz w:val="20"/>
                <w:szCs w:val="20"/>
                <w:color w:val="auto"/>
              </w:rPr>
            </w:pPr>
            <w:r>
              <w:rPr>
                <w:rFonts w:ascii="Arial" w:cs="Arial" w:eastAsia="Arial" w:hAnsi="Arial"/>
                <w:sz w:val="18"/>
                <w:szCs w:val="18"/>
                <w:color w:val="auto"/>
                <w:w w:val="99"/>
              </w:rPr>
              <w:t>EACH</w:t>
            </w:r>
          </w:p>
        </w:tc>
        <w:tc>
          <w:tcPr>
            <w:tcW w:w="780" w:type="dxa"/>
            <w:vAlign w:val="bottom"/>
            <w:tcBorders>
              <w:bottom w:val="single" w:sz="8" w:color="auto"/>
              <w:right w:val="single" w:sz="8" w:color="auto"/>
            </w:tcBorders>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right w:val="single" w:sz="8" w:color="auto"/>
            </w:tcBorders>
            <w:vMerge w:val="continue"/>
          </w:tcPr>
          <w:p>
            <w:pPr>
              <w:spacing w:after="0"/>
              <w:rPr>
                <w:sz w:val="15"/>
                <w:szCs w:val="15"/>
                <w:color w:val="auto"/>
              </w:rPr>
            </w:pPr>
          </w:p>
        </w:tc>
        <w:tc>
          <w:tcPr>
            <w:tcW w:w="780" w:type="dxa"/>
            <w:vAlign w:val="bottom"/>
            <w:tcBorders>
              <w:right w:val="single" w:sz="8" w:color="auto"/>
            </w:tcBorders>
            <w:vMerge w:val="restart"/>
          </w:tcPr>
          <w:p>
            <w:pPr>
              <w:jc w:val="right"/>
              <w:ind w:right="140"/>
              <w:spacing w:after="0" w:line="399" w:lineRule="exact"/>
              <w:rPr>
                <w:sz w:val="20"/>
                <w:szCs w:val="20"/>
                <w:color w:val="auto"/>
              </w:rPr>
            </w:pPr>
            <w:r>
              <w:rPr>
                <w:rFonts w:ascii="Arial" w:cs="Arial" w:eastAsia="Arial" w:hAnsi="Arial"/>
                <w:sz w:val="36"/>
                <w:szCs w:val="36"/>
                <w:color w:val="auto"/>
              </w:rPr>
              <w:t>6</w:t>
            </w:r>
          </w:p>
        </w:tc>
        <w:tc>
          <w:tcPr>
            <w:tcW w:w="79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tcPr>
          <w:p>
            <w:pPr>
              <w:spacing w:after="0"/>
              <w:rPr>
                <w:sz w:val="9"/>
                <w:szCs w:val="9"/>
                <w:color w:val="auto"/>
              </w:rPr>
            </w:pPr>
          </w:p>
        </w:tc>
        <w:tc>
          <w:tcPr>
            <w:tcW w:w="1900" w:type="dxa"/>
            <w:vAlign w:val="bottom"/>
            <w:tcBorders>
              <w:right w:val="single" w:sz="8" w:color="auto"/>
            </w:tcBorders>
            <w:gridSpan w:val="2"/>
            <w:vMerge w:val="restart"/>
          </w:tcPr>
          <w:p>
            <w:pPr>
              <w:jc w:val="center"/>
              <w:ind w:right="508"/>
              <w:spacing w:after="0"/>
              <w:rPr>
                <w:sz w:val="20"/>
                <w:szCs w:val="20"/>
                <w:color w:val="auto"/>
              </w:rPr>
            </w:pPr>
            <w:r>
              <w:rPr>
                <w:rFonts w:ascii="Arial" w:cs="Arial" w:eastAsia="Arial" w:hAnsi="Arial"/>
                <w:sz w:val="18"/>
                <w:szCs w:val="18"/>
                <w:color w:val="auto"/>
                <w:w w:val="91"/>
              </w:rPr>
              <w:t>REPORTING</w:t>
            </w:r>
          </w:p>
        </w:tc>
        <w:tc>
          <w:tcPr>
            <w:tcW w:w="78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190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PERSON</w:t>
            </w:r>
          </w:p>
        </w:tc>
        <w:tc>
          <w:tcPr>
            <w:tcW w:w="7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tcBorders>
              <w:right w:val="single" w:sz="8" w:color="auto"/>
            </w:tcBorders>
            <w:vMerge w:val="restart"/>
          </w:tcPr>
          <w:p>
            <w:pPr>
              <w:jc w:val="center"/>
              <w:ind w:right="728"/>
              <w:spacing w:after="0"/>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vMerge w:val="restart"/>
          </w:tcPr>
          <w:p>
            <w:pPr>
              <w:jc w:val="right"/>
              <w:ind w:right="140"/>
              <w:spacing w:after="0"/>
              <w:rPr>
                <w:sz w:val="20"/>
                <w:szCs w:val="20"/>
                <w:color w:val="auto"/>
              </w:rPr>
            </w:pPr>
            <w:r>
              <w:rPr>
                <w:rFonts w:ascii="Arial" w:cs="Arial" w:eastAsia="Arial" w:hAnsi="Arial"/>
                <w:sz w:val="36"/>
                <w:szCs w:val="36"/>
                <w:color w:val="auto"/>
              </w:rPr>
              <w:t>7</w:t>
            </w: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79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3"/>
        </w:trPr>
        <w:tc>
          <w:tcPr>
            <w:tcW w:w="60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9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vMerge w:val="restart"/>
          </w:tcPr>
          <w:p>
            <w:pPr>
              <w:jc w:val="right"/>
              <w:ind w:right="140"/>
              <w:spacing w:after="0"/>
              <w:rPr>
                <w:sz w:val="20"/>
                <w:szCs w:val="20"/>
                <w:color w:val="auto"/>
              </w:rPr>
            </w:pPr>
            <w:r>
              <w:rPr>
                <w:rFonts w:ascii="Arial" w:cs="Arial" w:eastAsia="Arial" w:hAnsi="Arial"/>
                <w:sz w:val="36"/>
                <w:szCs w:val="36"/>
                <w:color w:val="auto"/>
              </w:rPr>
              <w:t>8</w:t>
            </w: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79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9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600" w:type="dxa"/>
            <w:vAlign w:val="bottom"/>
            <w:tcBorders>
              <w:left w:val="single" w:sz="8" w:color="auto"/>
            </w:tcBorders>
            <w:vMerge w:val="restart"/>
          </w:tcPr>
          <w:p>
            <w:pPr>
              <w:jc w:val="center"/>
              <w:ind w:left="50"/>
              <w:spacing w:after="0"/>
              <w:rPr>
                <w:sz w:val="20"/>
                <w:szCs w:val="20"/>
                <w:color w:val="auto"/>
              </w:rPr>
            </w:pPr>
            <w:r>
              <w:rPr>
                <w:rFonts w:ascii="Arial" w:cs="Arial" w:eastAsia="Arial" w:hAnsi="Arial"/>
                <w:sz w:val="36"/>
                <w:szCs w:val="36"/>
                <w:color w:val="auto"/>
                <w:w w:val="89"/>
              </w:rPr>
              <w:t>9</w:t>
            </w:r>
          </w:p>
        </w:tc>
        <w:tc>
          <w:tcPr>
            <w:tcW w:w="22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6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680" w:type="dxa"/>
            <w:vAlign w:val="bottom"/>
          </w:tcPr>
          <w:p>
            <w:pPr>
              <w:ind w:left="100"/>
              <w:spacing w:after="0"/>
              <w:rPr>
                <w:sz w:val="20"/>
                <w:szCs w:val="20"/>
                <w:color w:val="auto"/>
              </w:rPr>
            </w:pPr>
            <w:r>
              <w:rPr>
                <w:rFonts w:ascii="Arial" w:cs="Arial" w:eastAsia="Arial" w:hAnsi="Arial"/>
                <w:sz w:val="20"/>
                <w:szCs w:val="20"/>
                <w:color w:val="auto"/>
              </w:rPr>
              <w:t>0</w:t>
            </w:r>
          </w:p>
        </w:tc>
        <w:tc>
          <w:tcPr>
            <w:tcW w:w="78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6"/>
        </w:trPr>
        <w:tc>
          <w:tcPr>
            <w:tcW w:w="600" w:type="dxa"/>
            <w:vAlign w:val="bottom"/>
            <w:tcBorders>
              <w:left w:val="single" w:sz="8" w:color="auto"/>
            </w:tcBorders>
          </w:tcPr>
          <w:p>
            <w:pPr>
              <w:jc w:val="center"/>
              <w:ind w:left="70"/>
              <w:spacing w:after="0"/>
              <w:rPr>
                <w:sz w:val="20"/>
                <w:szCs w:val="20"/>
                <w:color w:val="auto"/>
              </w:rPr>
            </w:pPr>
            <w:r>
              <w:rPr>
                <w:rFonts w:ascii="Arial" w:cs="Arial" w:eastAsia="Arial" w:hAnsi="Arial"/>
                <w:sz w:val="36"/>
                <w:szCs w:val="36"/>
                <w:color w:val="auto"/>
                <w:w w:val="89"/>
              </w:rPr>
              <w:t>10</w:t>
            </w:r>
          </w:p>
        </w:tc>
        <w:tc>
          <w:tcPr>
            <w:tcW w:w="22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100"/>
              <w:spacing w:after="0" w:line="242"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11"/>
        </w:trPr>
        <w:tc>
          <w:tcPr>
            <w:tcW w:w="6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600" w:type="dxa"/>
            <w:vAlign w:val="bottom"/>
            <w:tcBorders>
              <w:left w:val="single" w:sz="8" w:color="auto"/>
            </w:tcBorders>
          </w:tcPr>
          <w:p>
            <w:pPr>
              <w:jc w:val="center"/>
              <w:ind w:left="50"/>
              <w:spacing w:after="0"/>
              <w:rPr>
                <w:sz w:val="20"/>
                <w:szCs w:val="20"/>
                <w:color w:val="auto"/>
              </w:rPr>
            </w:pPr>
            <w:r>
              <w:rPr>
                <w:rFonts w:ascii="Arial" w:cs="Arial" w:eastAsia="Arial" w:hAnsi="Arial"/>
                <w:sz w:val="36"/>
                <w:szCs w:val="36"/>
                <w:color w:val="auto"/>
                <w:w w:val="84"/>
              </w:rPr>
              <w:t>11</w:t>
            </w:r>
          </w:p>
        </w:tc>
        <w:tc>
          <w:tcPr>
            <w:tcW w:w="22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680" w:type="dxa"/>
            <w:vAlign w:val="bottom"/>
          </w:tcPr>
          <w:p>
            <w:pPr>
              <w:ind w:left="100"/>
              <w:spacing w:after="0"/>
              <w:rPr>
                <w:sz w:val="20"/>
                <w:szCs w:val="20"/>
                <w:color w:val="auto"/>
              </w:rPr>
            </w:pPr>
            <w:r>
              <w:rPr>
                <w:rFonts w:ascii="Arial" w:cs="Arial" w:eastAsia="Arial" w:hAnsi="Arial"/>
                <w:sz w:val="20"/>
                <w:szCs w:val="20"/>
                <w:color w:val="auto"/>
              </w:rPr>
              <w:t>0.0%</w:t>
            </w:r>
          </w:p>
        </w:tc>
        <w:tc>
          <w:tcPr>
            <w:tcW w:w="780" w:type="dxa"/>
            <w:vAlign w:val="bottom"/>
          </w:tcPr>
          <w:p>
            <w:pPr>
              <w:spacing w:after="0"/>
              <w:rPr>
                <w:sz w:val="21"/>
                <w:szCs w:val="21"/>
                <w:color w:val="auto"/>
              </w:rPr>
            </w:pPr>
          </w:p>
        </w:tc>
        <w:tc>
          <w:tcPr>
            <w:tcW w:w="7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0"/>
        </w:trPr>
        <w:tc>
          <w:tcPr>
            <w:tcW w:w="600" w:type="dxa"/>
            <w:vAlign w:val="bottom"/>
            <w:tcBorders>
              <w:left w:val="single" w:sz="8" w:color="auto"/>
            </w:tcBorders>
          </w:tcPr>
          <w:p>
            <w:pPr>
              <w:jc w:val="center"/>
              <w:ind w:left="70"/>
              <w:spacing w:after="0"/>
              <w:rPr>
                <w:sz w:val="20"/>
                <w:szCs w:val="20"/>
                <w:color w:val="auto"/>
              </w:rPr>
            </w:pPr>
            <w:r>
              <w:rPr>
                <w:rFonts w:ascii="Arial" w:cs="Arial" w:eastAsia="Arial" w:hAnsi="Arial"/>
                <w:sz w:val="36"/>
                <w:szCs w:val="36"/>
                <w:color w:val="auto"/>
                <w:w w:val="89"/>
              </w:rPr>
              <w:t>12</w:t>
            </w:r>
          </w:p>
        </w:tc>
        <w:tc>
          <w:tcPr>
            <w:tcW w:w="22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680" w:type="dxa"/>
            <w:vAlign w:val="bottom"/>
          </w:tcPr>
          <w:p>
            <w:pPr>
              <w:ind w:left="100"/>
              <w:spacing w:after="0"/>
              <w:rPr>
                <w:sz w:val="20"/>
                <w:szCs w:val="20"/>
                <w:color w:val="auto"/>
              </w:rPr>
            </w:pPr>
            <w:r>
              <w:rPr>
                <w:rFonts w:ascii="Arial" w:cs="Arial" w:eastAsia="Arial" w:hAnsi="Arial"/>
                <w:sz w:val="20"/>
                <w:szCs w:val="20"/>
                <w:color w:val="auto"/>
              </w:rPr>
              <w:t>IA, OO</w:t>
            </w:r>
          </w:p>
        </w:tc>
        <w:tc>
          <w:tcPr>
            <w:tcW w:w="780" w:type="dxa"/>
            <w:vAlign w:val="bottom"/>
          </w:tcPr>
          <w:p>
            <w:pPr>
              <w:spacing w:after="0"/>
              <w:rPr>
                <w:sz w:val="21"/>
                <w:szCs w:val="21"/>
                <w:color w:val="auto"/>
              </w:rPr>
            </w:pPr>
          </w:p>
        </w:tc>
        <w:tc>
          <w:tcPr>
            <w:tcW w:w="7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960" w:type="dxa"/>
            <w:vAlign w:val="bottom"/>
          </w:tcPr>
          <w:p>
            <w:pPr>
              <w:ind w:left="23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127686103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1 (a) </w:t>
      </w:r>
      <w:r>
        <w:rPr>
          <w:rFonts w:ascii="Arial" w:cs="Arial" w:eastAsia="Arial" w:hAnsi="Arial"/>
          <w:sz w:val="20"/>
          <w:szCs w:val="20"/>
          <w:u w:val="single" w:color="auto"/>
          <w:color w:val="auto"/>
        </w:rPr>
        <w:t>Name of Issuer</w:t>
      </w:r>
      <w:r>
        <w:rPr>
          <w:rFonts w:ascii="Arial" w:cs="Arial" w:eastAsia="Arial" w:hAnsi="Arial"/>
          <w:sz w:val="20"/>
          <w:szCs w:val="20"/>
          <w:color w:val="auto"/>
        </w:rPr>
        <w:t>:</w:t>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Caesars Holdings, Inc.</w:t>
      </w:r>
    </w:p>
    <w:p>
      <w:pPr>
        <w:spacing w:after="0" w:line="213" w:lineRule="exact"/>
        <w:rPr>
          <w:sz w:val="20"/>
          <w:szCs w:val="20"/>
          <w:color w:val="auto"/>
        </w:rPr>
      </w:pPr>
    </w:p>
    <w:p>
      <w:pPr>
        <w:ind w:left="1960" w:right="5280" w:hanging="656"/>
        <w:spacing w:after="0" w:line="247" w:lineRule="auto"/>
        <w:tabs>
          <w:tab w:leader="none" w:pos="1889"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Address of Issuer's Principal Executive Offices</w:t>
      </w:r>
      <w:r>
        <w:rPr>
          <w:rFonts w:ascii="Arial" w:cs="Arial" w:eastAsia="Arial" w:hAnsi="Arial"/>
          <w:sz w:val="20"/>
          <w:szCs w:val="20"/>
          <w:color w:val="auto"/>
        </w:rPr>
        <w:t>: One Caesars Palace Drive</w:t>
      </w:r>
    </w:p>
    <w:p>
      <w:pPr>
        <w:spacing w:after="0" w:line="1" w:lineRule="exact"/>
        <w:rPr>
          <w:rFonts w:ascii="Arial" w:cs="Arial" w:eastAsia="Arial" w:hAnsi="Arial"/>
          <w:sz w:val="20"/>
          <w:szCs w:val="20"/>
          <w:color w:val="auto"/>
        </w:rPr>
      </w:pPr>
    </w:p>
    <w:p>
      <w:pPr>
        <w:ind w:left="1960"/>
        <w:spacing w:after="0"/>
        <w:rPr>
          <w:rFonts w:ascii="Arial" w:cs="Arial" w:eastAsia="Arial" w:hAnsi="Arial"/>
          <w:sz w:val="20"/>
          <w:szCs w:val="20"/>
          <w:color w:val="auto"/>
        </w:rPr>
      </w:pPr>
      <w:r>
        <w:rPr>
          <w:rFonts w:ascii="Arial" w:cs="Arial" w:eastAsia="Arial" w:hAnsi="Arial"/>
          <w:sz w:val="20"/>
          <w:szCs w:val="20"/>
          <w:color w:val="auto"/>
        </w:rPr>
        <w:t>Las Vegas, NV 89109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60" w:right="6080" w:hanging="656"/>
        <w:spacing w:after="0" w:line="250" w:lineRule="auto"/>
        <w:tabs>
          <w:tab w:leader="none" w:pos="1889"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Address of Principal Business Office</w:t>
      </w:r>
      <w:r>
        <w:rPr>
          <w:rFonts w:ascii="Arial" w:cs="Arial" w:eastAsia="Arial" w:hAnsi="Arial"/>
          <w:sz w:val="20"/>
          <w:szCs w:val="20"/>
          <w:color w:val="auto"/>
        </w:rPr>
        <w:t>: 650 Newport Center Drive Newport Beach, CA 92660</w:t>
      </w:r>
    </w:p>
    <w:p>
      <w:pPr>
        <w:spacing w:after="0" w:line="199" w:lineRule="exact"/>
        <w:rPr>
          <w:rFonts w:ascii="Arial" w:cs="Arial" w:eastAsia="Arial" w:hAnsi="Arial"/>
          <w:sz w:val="20"/>
          <w:szCs w:val="20"/>
          <w:color w:val="auto"/>
        </w:rPr>
      </w:pPr>
    </w:p>
    <w:p>
      <w:pPr>
        <w:ind w:left="1860" w:hanging="556"/>
        <w:spacing w:after="0"/>
        <w:tabs>
          <w:tab w:leader="none" w:pos="186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Citizenship</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ind w:left="1960" w:right="6900" w:hanging="656"/>
        <w:spacing w:after="0" w:line="316" w:lineRule="auto"/>
        <w:tabs>
          <w:tab w:leader="none" w:pos="188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 Common Stock</w:t>
      </w:r>
    </w:p>
    <w:p>
      <w:pPr>
        <w:spacing w:after="0" w:line="143" w:lineRule="exact"/>
        <w:rPr>
          <w:rFonts w:ascii="Arial" w:cs="Arial" w:eastAsia="Arial" w:hAnsi="Arial"/>
          <w:sz w:val="18"/>
          <w:szCs w:val="18"/>
          <w:color w:val="auto"/>
        </w:rPr>
      </w:pPr>
    </w:p>
    <w:p>
      <w:pPr>
        <w:ind w:left="1960" w:right="7760" w:hanging="656"/>
        <w:spacing w:after="0" w:line="316" w:lineRule="auto"/>
        <w:tabs>
          <w:tab w:leader="none" w:pos="187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CUSIP Number</w:t>
      </w:r>
      <w:r>
        <w:rPr>
          <w:rFonts w:ascii="Arial" w:cs="Arial" w:eastAsia="Arial" w:hAnsi="Arial"/>
          <w:sz w:val="18"/>
          <w:szCs w:val="18"/>
          <w:color w:val="auto"/>
        </w:rPr>
        <w:t>: 127686103</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8"/>
          <w:szCs w:val="18"/>
          <w:u w:val="single" w:color="auto"/>
          <w:color w:val="auto"/>
        </w:rPr>
        <w:t>If this statement is filed pursuant to Rule 13d-1(b), or 13d-2(b), check whether the person filing is a</w:t>
      </w:r>
      <w:r>
        <w:rPr>
          <w:rFonts w:ascii="Arial" w:cs="Arial" w:eastAsia="Arial" w:hAnsi="Arial"/>
          <w:sz w:val="18"/>
          <w:szCs w:val="18"/>
          <w:color w:val="auto"/>
        </w:rPr>
        <w:t>:</w:t>
      </w:r>
    </w:p>
    <w:p>
      <w:pPr>
        <w:spacing w:after="0" w:line="205" w:lineRule="exact"/>
        <w:rPr>
          <w:sz w:val="20"/>
          <w:szCs w:val="20"/>
          <w:color w:val="auto"/>
        </w:rPr>
      </w:pPr>
    </w:p>
    <w:p>
      <w:pPr>
        <w:ind w:left="1300" w:hanging="644"/>
        <w:spacing w:after="0" w:line="230" w:lineRule="exact"/>
        <w:tabs>
          <w:tab w:leader="none" w:pos="130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229" w:lineRule="exact"/>
        <w:rPr>
          <w:rFonts w:ascii="Arial" w:cs="Arial" w:eastAsia="Arial" w:hAnsi="Arial"/>
          <w:sz w:val="20"/>
          <w:szCs w:val="20"/>
          <w:color w:val="auto"/>
        </w:rPr>
      </w:pPr>
    </w:p>
    <w:p>
      <w:pPr>
        <w:ind w:left="1300" w:hanging="644"/>
        <w:spacing w:after="0" w:line="230" w:lineRule="exact"/>
        <w:tabs>
          <w:tab w:leader="none" w:pos="130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1300" w:hanging="644"/>
        <w:spacing w:after="0" w:line="230" w:lineRule="exact"/>
        <w:tabs>
          <w:tab w:leader="none" w:pos="130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1300" w:hanging="644"/>
        <w:spacing w:after="0" w:line="258" w:lineRule="exact"/>
        <w:tabs>
          <w:tab w:leader="none" w:pos="130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as amended (the “Investment Company Act”);</w:t>
      </w:r>
    </w:p>
    <w:p>
      <w:pPr>
        <w:spacing w:after="0" w:line="172" w:lineRule="exact"/>
        <w:rPr>
          <w:rFonts w:ascii="Arial" w:cs="Arial" w:eastAsia="Arial" w:hAnsi="Arial"/>
          <w:sz w:val="20"/>
          <w:szCs w:val="20"/>
          <w:color w:val="auto"/>
        </w:rPr>
      </w:pPr>
    </w:p>
    <w:p>
      <w:pPr>
        <w:ind w:left="1300" w:hanging="644"/>
        <w:spacing w:after="0" w:line="230" w:lineRule="exact"/>
        <w:tabs>
          <w:tab w:leader="none" w:pos="130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29" w:lineRule="exact"/>
        <w:rPr>
          <w:rFonts w:ascii="Arial" w:cs="Arial" w:eastAsia="Arial" w:hAnsi="Arial"/>
          <w:sz w:val="20"/>
          <w:szCs w:val="20"/>
          <w:color w:val="auto"/>
        </w:rPr>
      </w:pPr>
    </w:p>
    <w:p>
      <w:pPr>
        <w:ind w:left="1300" w:hanging="644"/>
        <w:spacing w:after="0" w:line="230" w:lineRule="exact"/>
        <w:tabs>
          <w:tab w:leader="none" w:pos="130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 Rule 13d-1(b)(1)(ii)(F);</w:t>
      </w:r>
    </w:p>
    <w:p>
      <w:pPr>
        <w:spacing w:after="0" w:line="229" w:lineRule="exact"/>
        <w:rPr>
          <w:rFonts w:ascii="Arial" w:cs="Arial" w:eastAsia="Arial" w:hAnsi="Arial"/>
          <w:sz w:val="20"/>
          <w:szCs w:val="20"/>
          <w:color w:val="auto"/>
        </w:rPr>
      </w:pPr>
    </w:p>
    <w:p>
      <w:pPr>
        <w:ind w:left="1300" w:hanging="644"/>
        <w:spacing w:after="0" w:line="230" w:lineRule="exact"/>
        <w:tabs>
          <w:tab w:leader="none" w:pos="130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13d-1(b)(ii)(G);</w:t>
      </w:r>
    </w:p>
    <w:p>
      <w:pPr>
        <w:spacing w:after="0" w:line="229" w:lineRule="exact"/>
        <w:rPr>
          <w:rFonts w:ascii="Arial" w:cs="Arial" w:eastAsia="Arial" w:hAnsi="Arial"/>
          <w:sz w:val="20"/>
          <w:szCs w:val="20"/>
          <w:color w:val="auto"/>
        </w:rPr>
      </w:pPr>
    </w:p>
    <w:p>
      <w:pPr>
        <w:ind w:left="1300" w:hanging="644"/>
        <w:spacing w:after="0" w:line="230" w:lineRule="exact"/>
        <w:tabs>
          <w:tab w:leader="none" w:pos="130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w:t>
      </w:r>
    </w:p>
    <w:p>
      <w:pPr>
        <w:spacing w:after="0" w:line="229" w:lineRule="exact"/>
        <w:rPr>
          <w:rFonts w:ascii="Arial" w:cs="Arial" w:eastAsia="Arial" w:hAnsi="Arial"/>
          <w:sz w:val="20"/>
          <w:szCs w:val="20"/>
          <w:color w:val="auto"/>
        </w:rPr>
      </w:pPr>
    </w:p>
    <w:p>
      <w:pPr>
        <w:ind w:left="1300" w:right="180" w:hanging="644"/>
        <w:spacing w:after="0" w:line="258" w:lineRule="exact"/>
        <w:tabs>
          <w:tab w:leader="none" w:pos="130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w:t>
      </w:r>
    </w:p>
    <w:p>
      <w:pPr>
        <w:spacing w:after="0" w:line="172" w:lineRule="exact"/>
        <w:rPr>
          <w:rFonts w:ascii="Arial" w:cs="Arial" w:eastAsia="Arial" w:hAnsi="Arial"/>
          <w:sz w:val="20"/>
          <w:szCs w:val="20"/>
          <w:color w:val="auto"/>
        </w:rPr>
      </w:pPr>
    </w:p>
    <w:p>
      <w:pPr>
        <w:ind w:left="1300" w:hanging="644"/>
        <w:spacing w:after="0" w:line="230" w:lineRule="exact"/>
        <w:tabs>
          <w:tab w:leader="none" w:pos="130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§240.13d-1(b)(ii)(J); or</w:t>
      </w:r>
    </w:p>
    <w:p>
      <w:pPr>
        <w:spacing w:after="0" w:line="229" w:lineRule="exact"/>
        <w:rPr>
          <w:rFonts w:ascii="Arial" w:cs="Arial" w:eastAsia="Arial" w:hAnsi="Arial"/>
          <w:sz w:val="20"/>
          <w:szCs w:val="20"/>
          <w:color w:val="auto"/>
        </w:rPr>
      </w:pPr>
    </w:p>
    <w:p>
      <w:pPr>
        <w:ind w:left="1300" w:hanging="644"/>
        <w:spacing w:after="0" w:line="230" w:lineRule="exact"/>
        <w:tabs>
          <w:tab w:leader="none" w:pos="1300" w:val="left"/>
        </w:tabs>
        <w:numPr>
          <w:ilvl w:val="0"/>
          <w:numId w:val="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Rule13d-1(b)(1)(ii)(K);</w:t>
      </w:r>
    </w:p>
    <w:p>
      <w:pPr>
        <w:spacing w:after="0" w:line="266"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19"/>
          <w:szCs w:val="19"/>
          <w:color w:val="auto"/>
        </w:rPr>
        <w:t>If filing as a non-U.S. institution in accordance with §240.13d-1(b)(1)(ii)(J), please specify the type of institution</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___________________________________________________________.</w:t>
      </w:r>
    </w:p>
    <w:p>
      <w:pPr>
        <w:spacing w:after="0" w:line="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233" w:right="6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127686103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4 </w:t>
      </w:r>
      <w:r>
        <w:rPr>
          <w:rFonts w:ascii="Arial" w:cs="Arial" w:eastAsia="Arial" w:hAnsi="Arial"/>
          <w:sz w:val="20"/>
          <w:szCs w:val="20"/>
          <w:u w:val="single" w:color="auto"/>
          <w:color w:val="auto"/>
        </w:rPr>
        <w:t>Ownership</w:t>
      </w:r>
      <w:r>
        <w:rPr>
          <w:rFonts w:ascii="Arial" w:cs="Arial" w:eastAsia="Arial" w:hAnsi="Arial"/>
          <w:sz w:val="20"/>
          <w:szCs w:val="20"/>
          <w:color w:val="auto"/>
        </w:rPr>
        <w:t>.</w:t>
      </w:r>
    </w:p>
    <w:p>
      <w:pPr>
        <w:spacing w:after="0" w:line="21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Amount beneficially owned: 0</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Percent of Class: 0.0%</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Number of shares as to which such person has:</w:t>
      </w:r>
    </w:p>
    <w:p>
      <w:pPr>
        <w:spacing w:after="0" w:line="229" w:lineRule="exact"/>
        <w:rPr>
          <w:rFonts w:ascii="Arial" w:cs="Arial" w:eastAsia="Arial" w:hAnsi="Arial"/>
          <w:sz w:val="20"/>
          <w:szCs w:val="20"/>
          <w:color w:val="auto"/>
        </w:rPr>
      </w:pPr>
    </w:p>
    <w:p>
      <w:pPr>
        <w:ind w:left="1840" w:hanging="536"/>
        <w:spacing w:after="0"/>
        <w:tabs>
          <w:tab w:leader="none" w:pos="1840" w:val="left"/>
        </w:tabs>
        <w:numPr>
          <w:ilvl w:val="1"/>
          <w:numId w:val="8"/>
        </w:numPr>
        <w:rPr>
          <w:rFonts w:ascii="Arial" w:cs="Arial" w:eastAsia="Arial" w:hAnsi="Arial"/>
          <w:sz w:val="20"/>
          <w:szCs w:val="20"/>
          <w:color w:val="auto"/>
        </w:rPr>
      </w:pPr>
      <w:r>
        <w:rPr>
          <w:rFonts w:ascii="Arial" w:cs="Arial" w:eastAsia="Arial" w:hAnsi="Arial"/>
          <w:sz w:val="20"/>
          <w:szCs w:val="20"/>
          <w:color w:val="auto"/>
        </w:rPr>
        <w:t>Sole power to vote or direct the vote: 0</w:t>
      </w:r>
    </w:p>
    <w:p>
      <w:pPr>
        <w:spacing w:after="0" w:line="229" w:lineRule="exact"/>
        <w:rPr>
          <w:rFonts w:ascii="Arial" w:cs="Arial" w:eastAsia="Arial" w:hAnsi="Arial"/>
          <w:sz w:val="20"/>
          <w:szCs w:val="20"/>
          <w:color w:val="auto"/>
        </w:rPr>
      </w:pPr>
    </w:p>
    <w:p>
      <w:pPr>
        <w:ind w:left="1900" w:hanging="596"/>
        <w:spacing w:after="0"/>
        <w:tabs>
          <w:tab w:leader="none" w:pos="1900" w:val="left"/>
        </w:tabs>
        <w:numPr>
          <w:ilvl w:val="1"/>
          <w:numId w:val="8"/>
        </w:numPr>
        <w:rPr>
          <w:rFonts w:ascii="Arial" w:cs="Arial" w:eastAsia="Arial" w:hAnsi="Arial"/>
          <w:sz w:val="20"/>
          <w:szCs w:val="20"/>
          <w:color w:val="auto"/>
        </w:rPr>
      </w:pPr>
      <w:r>
        <w:rPr>
          <w:rFonts w:ascii="Arial" w:cs="Arial" w:eastAsia="Arial" w:hAnsi="Arial"/>
          <w:sz w:val="20"/>
          <w:szCs w:val="20"/>
          <w:color w:val="auto"/>
        </w:rPr>
        <w:t>Shared power to vote: 0</w:t>
      </w:r>
    </w:p>
    <w:p>
      <w:pPr>
        <w:spacing w:after="0" w:line="229" w:lineRule="exact"/>
        <w:rPr>
          <w:rFonts w:ascii="Arial" w:cs="Arial" w:eastAsia="Arial" w:hAnsi="Arial"/>
          <w:sz w:val="20"/>
          <w:szCs w:val="20"/>
          <w:color w:val="auto"/>
        </w:rPr>
      </w:pPr>
    </w:p>
    <w:p>
      <w:pPr>
        <w:ind w:left="1660" w:hanging="356"/>
        <w:spacing w:after="0"/>
        <w:tabs>
          <w:tab w:leader="none" w:pos="1660" w:val="left"/>
        </w:tabs>
        <w:numPr>
          <w:ilvl w:val="1"/>
          <w:numId w:val="8"/>
        </w:numPr>
        <w:rPr>
          <w:rFonts w:ascii="Arial" w:cs="Arial" w:eastAsia="Arial" w:hAnsi="Arial"/>
          <w:sz w:val="20"/>
          <w:szCs w:val="20"/>
          <w:color w:val="auto"/>
        </w:rPr>
      </w:pPr>
      <w:r>
        <w:rPr>
          <w:rFonts w:ascii="Arial" w:cs="Arial" w:eastAsia="Arial" w:hAnsi="Arial"/>
          <w:sz w:val="20"/>
          <w:szCs w:val="20"/>
          <w:color w:val="auto"/>
        </w:rPr>
        <w:t>Sole power to dispose or direct the disposition of: 0</w:t>
      </w:r>
    </w:p>
    <w:p>
      <w:pPr>
        <w:spacing w:after="0" w:line="229" w:lineRule="exact"/>
        <w:rPr>
          <w:rFonts w:ascii="Arial" w:cs="Arial" w:eastAsia="Arial" w:hAnsi="Arial"/>
          <w:sz w:val="20"/>
          <w:szCs w:val="20"/>
          <w:color w:val="auto"/>
        </w:rPr>
      </w:pPr>
    </w:p>
    <w:p>
      <w:pPr>
        <w:ind w:left="1640" w:hanging="336"/>
        <w:spacing w:after="0"/>
        <w:tabs>
          <w:tab w:leader="none" w:pos="1640" w:val="left"/>
        </w:tabs>
        <w:numPr>
          <w:ilvl w:val="1"/>
          <w:numId w:val="8"/>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0</w:t>
      </w:r>
    </w:p>
    <w:p>
      <w:pPr>
        <w:spacing w:after="0" w:line="229" w:lineRule="exact"/>
        <w:rPr>
          <w:sz w:val="20"/>
          <w:szCs w:val="20"/>
          <w:color w:val="auto"/>
        </w:rPr>
      </w:pPr>
    </w:p>
    <w:p>
      <w:pPr>
        <w:jc w:val="both"/>
        <w:ind w:firstLine="1475"/>
        <w:spacing w:after="0" w:line="243" w:lineRule="auto"/>
        <w:rPr>
          <w:sz w:val="20"/>
          <w:szCs w:val="20"/>
          <w:color w:val="auto"/>
        </w:rPr>
      </w:pPr>
      <w:r>
        <w:rPr>
          <w:rFonts w:ascii="Arial" w:cs="Arial" w:eastAsia="Arial" w:hAnsi="Arial"/>
          <w:sz w:val="20"/>
          <w:szCs w:val="20"/>
          <w:color w:val="auto"/>
        </w:rPr>
        <w:t>The securities reported in this Schedule 13G are held by investment advisory clients or discretionary accounts of which PIMCO is the investment adviser. When an investment management contract (including a sub-advisory agreement) delegates to PIMCO investment discretion or voting power over the securities held in the investment advisory accounts that are subject to that agreement, PIMCO considers the agreement to grant it sole investment discretion or voting authority, as the case may be, unless the agreement specifies otherwise. Accordingly, PIMCO reports on Schedule 13G that it has sole investment discretion and voting authority over the securities covered by any such investment management agreement and may be deemed to beneficially own the securities held by its clients or accounts within the meaning of rule 13d-3 under the Act.</w:t>
      </w:r>
    </w:p>
    <w:p>
      <w:pPr>
        <w:spacing w:after="0" w:line="206" w:lineRule="exact"/>
        <w:rPr>
          <w:sz w:val="20"/>
          <w:szCs w:val="20"/>
          <w:color w:val="auto"/>
        </w:rPr>
      </w:pPr>
    </w:p>
    <w:p>
      <w:pPr>
        <w:jc w:val="both"/>
        <w:ind w:firstLine="1475"/>
        <w:spacing w:after="0" w:line="246" w:lineRule="auto"/>
        <w:rPr>
          <w:sz w:val="20"/>
          <w:szCs w:val="20"/>
          <w:color w:val="auto"/>
        </w:rPr>
      </w:pPr>
      <w:r>
        <w:rPr>
          <w:rFonts w:ascii="Arial" w:cs="Arial" w:eastAsia="Arial" w:hAnsi="Arial"/>
          <w:sz w:val="20"/>
          <w:szCs w:val="20"/>
          <w:color w:val="auto"/>
        </w:rPr>
        <w:t>In accordance with SEC Release No. 34-39538 (January 12, 1998), this Schedule 13G reports the securities beneficially owned or deemed to be beneficially owned by PIMCO. It does not include securities, if any, beneficially owned by PIMCO’s affiliates, whose ownership of securities is disaggregated from that of PIMCO in accordance with that release. PIMCO also disclaims beneficial ownership of these securities except to the extent of its pecuniary interest therein.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5 </w:t>
      </w:r>
      <w:r>
        <w:rPr>
          <w:rFonts w:ascii="Arial" w:cs="Arial" w:eastAsia="Arial" w:hAnsi="Arial"/>
          <w:sz w:val="20"/>
          <w:szCs w:val="20"/>
          <w:u w:val="single" w:color="auto"/>
          <w:color w:val="auto"/>
        </w:rPr>
        <w:t>Ownership of Five Percent or Less of a Class</w:t>
      </w:r>
      <w:r>
        <w:rPr>
          <w:rFonts w:ascii="Arial" w:cs="Arial" w:eastAsia="Arial" w:hAnsi="Arial"/>
          <w:sz w:val="20"/>
          <w:szCs w:val="20"/>
          <w:color w:val="auto"/>
        </w:rPr>
        <w:t>.</w:t>
      </w:r>
    </w:p>
    <w:p>
      <w:pPr>
        <w:spacing w:after="0" w:line="229" w:lineRule="exact"/>
        <w:rPr>
          <w:sz w:val="20"/>
          <w:szCs w:val="20"/>
          <w:color w:val="auto"/>
        </w:rPr>
      </w:pPr>
    </w:p>
    <w:p>
      <w:pPr>
        <w:jc w:val="both"/>
        <w:ind w:firstLine="1475"/>
        <w:spacing w:after="0" w:line="268" w:lineRule="auto"/>
        <w:rPr>
          <w:sz w:val="20"/>
          <w:szCs w:val="20"/>
          <w:color w:val="auto"/>
        </w:rPr>
      </w:pPr>
      <w:r>
        <w:rPr>
          <w:rFonts w:ascii="Arial" w:cs="Arial" w:eastAsia="Arial" w:hAnsi="Arial"/>
          <w:sz w:val="20"/>
          <w:szCs w:val="20"/>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25"/>
          <w:szCs w:val="25"/>
          <w:color w:val="auto"/>
        </w:rPr>
        <w:t>x</w:t>
      </w: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6 </w:t>
      </w:r>
      <w:r>
        <w:rPr>
          <w:rFonts w:ascii="Arial" w:cs="Arial" w:eastAsia="Arial" w:hAnsi="Arial"/>
          <w:sz w:val="20"/>
          <w:szCs w:val="20"/>
          <w:u w:val="single" w:color="auto"/>
          <w:color w:val="auto"/>
        </w:rPr>
        <w:t>Ownership of More than Five Percent on Behalf of Another Person</w:t>
      </w:r>
      <w:r>
        <w:rPr>
          <w:rFonts w:ascii="Arial" w:cs="Arial" w:eastAsia="Arial" w:hAnsi="Arial"/>
          <w:sz w:val="20"/>
          <w:szCs w:val="20"/>
          <w:color w:val="auto"/>
        </w:rPr>
        <w:t>.</w:t>
      </w:r>
    </w:p>
    <w:p>
      <w:pPr>
        <w:spacing w:after="0" w:line="229" w:lineRule="exact"/>
        <w:rPr>
          <w:sz w:val="20"/>
          <w:szCs w:val="20"/>
          <w:color w:val="auto"/>
        </w:rPr>
      </w:pPr>
    </w:p>
    <w:p>
      <w:pPr>
        <w:jc w:val="both"/>
        <w:ind w:firstLine="1475"/>
        <w:spacing w:after="0" w:line="250" w:lineRule="auto"/>
        <w:rPr>
          <w:sz w:val="20"/>
          <w:szCs w:val="20"/>
          <w:color w:val="auto"/>
        </w:rPr>
      </w:pPr>
      <w:r>
        <w:rPr>
          <w:rFonts w:ascii="Arial" w:cs="Arial" w:eastAsia="Arial" w:hAnsi="Arial"/>
          <w:sz w:val="20"/>
          <w:szCs w:val="20"/>
          <w:color w:val="auto"/>
        </w:rPr>
        <w:t>PIMCO’s clients that hold these securities in their investment advisory accounts managed by PIMCO have the right to receive or the power to direct the receipt of dividends from, or the proceeds from the sale of the securities reported herein. No one client holds more than five percent of such securities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20"/>
                <w:szCs w:val="20"/>
                <w:color w:val="auto"/>
              </w:rPr>
              <w:t>Item 7</w:t>
            </w:r>
          </w:p>
        </w:tc>
        <w:tc>
          <w:tcPr>
            <w:tcW w:w="9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1"/>
              </w:rPr>
              <w:t>Identification and Classification of the Subsidiary Which Acquired the Security Being Reported on By the Parent Holding</w:t>
            </w:r>
          </w:p>
        </w:tc>
      </w:tr>
      <w:tr>
        <w:trPr>
          <w:trHeight w:val="210"/>
        </w:trPr>
        <w:tc>
          <w:tcPr>
            <w:tcW w:w="1300" w:type="dxa"/>
            <w:vAlign w:val="bottom"/>
          </w:tcPr>
          <w:p>
            <w:pPr>
              <w:spacing w:after="0"/>
              <w:rPr>
                <w:sz w:val="18"/>
                <w:szCs w:val="18"/>
                <w:color w:val="auto"/>
              </w:rPr>
            </w:pPr>
          </w:p>
        </w:tc>
        <w:tc>
          <w:tcPr>
            <w:tcW w:w="9680" w:type="dxa"/>
            <w:vAlign w:val="bottom"/>
            <w:gridSpan w:val="2"/>
          </w:tcPr>
          <w:p>
            <w:pPr>
              <w:spacing w:after="0" w:line="209" w:lineRule="exact"/>
              <w:rPr>
                <w:sz w:val="20"/>
                <w:szCs w:val="20"/>
                <w:color w:val="auto"/>
              </w:rPr>
            </w:pPr>
            <w:r>
              <w:rPr>
                <w:rFonts w:ascii="Arial" w:cs="Arial" w:eastAsia="Arial" w:hAnsi="Arial"/>
                <w:sz w:val="20"/>
                <w:szCs w:val="20"/>
                <w:color w:val="auto"/>
              </w:rPr>
              <w:t>Company.</w:t>
            </w: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483"/>
        </w:trPr>
        <w:tc>
          <w:tcPr>
            <w:tcW w:w="130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20"/>
                <w:szCs w:val="20"/>
                <w:color w:val="auto"/>
              </w:rPr>
              <w:t>Not Applicable.</w:t>
            </w:r>
          </w:p>
        </w:tc>
      </w:tr>
    </w:tbl>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Item 8  </w:t>
      </w:r>
      <w:r>
        <w:rPr>
          <w:rFonts w:ascii="Arial" w:cs="Arial" w:eastAsia="Arial" w:hAnsi="Arial"/>
          <w:sz w:val="20"/>
          <w:szCs w:val="20"/>
          <w:u w:val="single" w:color="auto"/>
          <w:color w:val="auto"/>
        </w:rPr>
        <w:t>Identification and Classification of Members of the Group</w:t>
      </w:r>
      <w:r>
        <w:rPr>
          <w:rFonts w:ascii="Arial" w:cs="Arial" w:eastAsia="Arial" w:hAnsi="Arial"/>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127686103</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Item 9  </w:t>
      </w:r>
      <w:r>
        <w:rPr>
          <w:rFonts w:ascii="Arial" w:cs="Arial" w:eastAsia="Arial" w:hAnsi="Arial"/>
          <w:sz w:val="20"/>
          <w:szCs w:val="20"/>
          <w:u w:val="single" w:color="auto"/>
          <w:color w:val="auto"/>
        </w:rPr>
        <w:t>Notice of Dissolution of Group</w:t>
      </w:r>
      <w:r>
        <w:rPr>
          <w:rFonts w:ascii="Arial" w:cs="Arial" w:eastAsia="Arial" w:hAnsi="Arial"/>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 Applicable.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10 </w:t>
      </w:r>
      <w:r>
        <w:rPr>
          <w:rFonts w:ascii="Arial" w:cs="Arial" w:eastAsia="Arial" w:hAnsi="Arial"/>
          <w:sz w:val="20"/>
          <w:szCs w:val="20"/>
          <w:u w:val="single" w:color="auto"/>
          <w:color w:val="auto"/>
        </w:rPr>
        <w:t>Certification</w:t>
      </w:r>
      <w:r>
        <w:rPr>
          <w:rFonts w:ascii="Arial" w:cs="Arial" w:eastAsia="Arial" w:hAnsi="Arial"/>
          <w:sz w:val="20"/>
          <w:szCs w:val="20"/>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SIGNATURE</w:t>
      </w:r>
    </w:p>
    <w:p>
      <w:pPr>
        <w:spacing w:after="0" w:line="175"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Date: August 10, 2020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PACIFIC INVESTMENT MANAGEMENT COMPANY LLC</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Jason Nagler</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Jason Nagler,</w:t>
      </w:r>
    </w:p>
    <w:p>
      <w:pPr>
        <w:ind w:left="420"/>
        <w:spacing w:after="0"/>
        <w:rPr>
          <w:sz w:val="20"/>
          <w:szCs w:val="20"/>
          <w:color w:val="auto"/>
        </w:rPr>
      </w:pPr>
      <w:r>
        <w:rPr>
          <w:rFonts w:ascii="Arial" w:cs="Arial" w:eastAsia="Arial" w:hAnsi="Arial"/>
          <w:sz w:val="20"/>
          <w:szCs w:val="20"/>
          <w:color w:val="auto"/>
        </w:rPr>
        <w:t>Senior Vice President</w:t>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2020-08-10T13:42:14Z</dcterms:created>
  <dcterms:modified xsi:type="dcterms:W3CDTF">2020-08-10T13:42:14Z</dcterms:modified>
</cp:coreProperties>
</file>