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43488d8k.htm"/>
      <w:bookmarkStart w:id="1" w:name="ksd74348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September 22,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CAESARS ENTERTAINMENT,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990" w:type="dxa"/>
        <w:jc w:val="left"/>
        <w:tblInd w:w="0" w:type="dxa"/>
        <w:tblLayout w:type="fixed"/>
        <w:tblCellMar>
          <w:top w:w="0" w:type="dxa"/>
          <w:left w:w="0" w:type="dxa"/>
          <w:bottom w:w="0" w:type="dxa"/>
          <w:right w:w="0" w:type="dxa"/>
        </w:tblCellMar>
      </w:tblPr>
      <w:tblGrid>
        <w:gridCol w:w="1115"/>
        <w:gridCol w:w="60"/>
        <w:gridCol w:w="1055"/>
        <w:gridCol w:w="60"/>
        <w:gridCol w:w="170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001-36629</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46-3657681</w:t>
            </w:r>
          </w:p>
        </w:tc>
      </w:tr>
      <w:tr>
        <w:trPr/>
        <w:tc>
          <w:tcPr>
            <w:tcW w:w="11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100 West Liberty Street, 12th Floor, Reno, Nevada 89501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(775) 328-0100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690" w:type="dxa"/>
        <w:jc w:val="left"/>
        <w:tblInd w:w="0" w:type="dxa"/>
        <w:tblLayout w:type="fixed"/>
        <w:tblCellMar>
          <w:top w:w="0" w:type="dxa"/>
          <w:left w:w="0" w:type="dxa"/>
          <w:bottom w:w="0" w:type="dxa"/>
          <w:right w:w="0" w:type="dxa"/>
        </w:tblCellMar>
      </w:tblPr>
      <w:tblGrid>
        <w:gridCol w:w="3425"/>
        <w:gridCol w:w="60"/>
        <w:gridCol w:w="740"/>
        <w:gridCol w:w="60"/>
        <w:gridCol w:w="2405"/>
      </w:tblGrid>
      <w:tr>
        <w:trPr/>
        <w:tc>
          <w:tcPr>
            <w:tcW w:w="3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34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25" w:type="dxa"/>
            <w:tcBorders/>
            <w:vAlign w:val="center"/>
          </w:tcPr>
          <w:p>
            <w:pPr>
              <w:pStyle w:val="TableContents"/>
              <w:bidi w:val="0"/>
              <w:spacing w:before="0" w:after="283"/>
              <w:jc w:val="center"/>
              <w:rPr/>
            </w:pPr>
            <w:r>
              <w:rPr/>
              <w:t>Common stock, $0.00001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CZR</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of directors (the “Board”) of Caesars Entertainment, Inc., a Delaware corporation (“Caesars” or the “Company”), previously approved an Agreement and Plan of Merger, dated as of May 27, 2026 (as may be amended from time to time, the “Merger Agreement”), providing that Empire Merger Sub, Inc., a Delaware corporation and wholly owned subsidiary of Fertitta Gaming Holdco, LLC, will merge with and into the Company, with the Company surviving the Merger as a wholly owned subsidiary of Fertitta Gaming Holdco, LLC (the “Merger”). If the Merger is consummated, each eligible share of Caesars’ common stock, par value $0.00001 per share (“Company Common Stock”), will be converted into the right to receive $31.00 in cash, plus, if the Merger has not been consummated by June 26, 2027, an additional amount equal to $0.007150 per share for each day during the period beginning on (and including) the first calendar day of the month following June 26, 2027 and ending on (and including) the day immediately before the closing of the Merger, in each case without interest and subject to applicable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22, 2026, a special meeting of stockholders of the Company was held at the Eldorado Resort &amp; Casino, 345 North Virginia Street, Reno, Nevada 89501 (the “Special Meeting”). The Special Meeting was held in order to vote upon the following proposals set forth in the Company’s definitive proxy statement dated August 25, 2026 and filed with the Securities and Exchange Commission (the “SEC”) on August 26, 2026 (the “Definitive Proxy”): </w:t>
      </w:r>
    </w:p>
    <w:p>
      <w:pPr>
        <w:pStyle w:val="TextBody"/>
        <w:bidi w:val="0"/>
        <w:spacing w:before="120" w:after="0"/>
        <w:jc w:val="left"/>
        <w:rPr>
          <w:rFonts w:ascii="Times New Roman" w:hAnsi="Times New Roman"/>
          <w:sz w:val="20"/>
        </w:rPr>
      </w:pPr>
      <w:r>
        <w:rPr>
          <w:rFonts w:ascii="Times New Roman" w:hAnsi="Times New Roman"/>
          <w:sz w:val="20"/>
        </w:rPr>
        <w:t xml:space="preserve">(1) To consider and vote on a proposal to adopt the Merger Agreement, providing that Empire Merger Sub, Inc., a Delaware corporation and wholly owned subsidiary of Fertitta Gaming Holdco, LLC, will merge with and into the Company, with the Company surviving the Merger as a wholly owned subsidiary of Fertitta Gaming Holdco, LLC, which proposal we refer to as the “Merger Proposal.” </w:t>
      </w:r>
    </w:p>
    <w:p>
      <w:pPr>
        <w:pStyle w:val="TextBody"/>
        <w:bidi w:val="0"/>
        <w:spacing w:before="120" w:after="0"/>
        <w:jc w:val="left"/>
        <w:rPr>
          <w:rFonts w:ascii="Times New Roman" w:hAnsi="Times New Roman"/>
          <w:sz w:val="20"/>
        </w:rPr>
      </w:pPr>
      <w:r>
        <w:rPr>
          <w:rFonts w:ascii="Times New Roman" w:hAnsi="Times New Roman"/>
          <w:sz w:val="20"/>
        </w:rPr>
        <w:t xml:space="preserve">(2) To consider and vote on a proposal to approve, on a non-binding, advisory basis, the compensation that may be paid or become payable to our named executive officers in connection with the transactions contemplated by the Merger Agreement, which proposal we refer to as the “Advisory Merger-Related Compensation Proposal.” </w:t>
      </w:r>
    </w:p>
    <w:p>
      <w:pPr>
        <w:pStyle w:val="TextBody"/>
        <w:bidi w:val="0"/>
        <w:spacing w:before="120" w:after="0"/>
        <w:jc w:val="left"/>
        <w:rPr>
          <w:rFonts w:ascii="Times New Roman" w:hAnsi="Times New Roman"/>
          <w:sz w:val="20"/>
        </w:rPr>
      </w:pPr>
      <w:r>
        <w:rPr>
          <w:rFonts w:ascii="Times New Roman" w:hAnsi="Times New Roman"/>
          <w:sz w:val="20"/>
        </w:rPr>
        <w:t xml:space="preserve">(3) To consider and vote on a proposal to approve any adjournment of the Special Meeting for the purpose of soliciting additional proxies if there are insufficient votes at the Special Meeting to adopt the Merger Agreement, which proposal we refer to as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As of the close of business on August 21, 2026, the record date for the Special Meeting, there were 203,780,124 shares of Company Common Stock outstanding and entitled to vote at the Special Meeting. Fractional voting amounts reflected in the inspector’s tabulation have been rounded to the nearest whole vote. Present at the Special Meeting, either in person or by proxy, were holders of 143,277,939 shares of Company Common Stock, representing 70.3% of the Company’s outstanding shares, which constituted a quorum.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matters voted on at the Special Meeting based on the final, certified report of the voting results by the independent inspector of elections. The Definitive Proxy contains a description of the following proposals considered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Proposal 1: Merger Proposal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the Company’s stockholders voted upon and approved the Merger Proposal. The votes on the Merger Proposal were as follows: </w:t>
      </w:r>
    </w:p>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1235"/>
        <w:gridCol w:w="60"/>
        <w:gridCol w:w="1025"/>
        <w:gridCol w:w="60"/>
        <w:gridCol w:w="980"/>
        <w:gridCol w:w="60"/>
        <w:gridCol w:w="80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235" w:type="dxa"/>
            <w:tcBorders/>
            <w:shd w:fill="CCEEFF" w:val="clear"/>
            <w:vAlign w:val="center"/>
          </w:tcPr>
          <w:p>
            <w:pPr>
              <w:pStyle w:val="TableContents"/>
              <w:bidi w:val="0"/>
              <w:spacing w:before="0" w:after="283"/>
              <w:jc w:val="center"/>
              <w:rPr/>
            </w:pPr>
            <w:r>
              <w:rPr/>
              <w:t>133,313,001</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4,276,986</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5,687,952</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0</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votes cast in favor of the Merger Proposal represented approximately 65.4% of the shares of Company Common Stock outstanding as of the record date.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Proposal 2: Advisory Merger-Related Compensation Proposal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the Company’s stockholders voted upon and approved, on an advisory basis, the Advisory Merger-Related Compensation Proposal. The votes on the Advisory Merger-Related Compensation Proposal were as follows: </w:t>
      </w:r>
    </w:p>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1235"/>
        <w:gridCol w:w="60"/>
        <w:gridCol w:w="1025"/>
        <w:gridCol w:w="60"/>
        <w:gridCol w:w="980"/>
        <w:gridCol w:w="60"/>
        <w:gridCol w:w="800"/>
      </w:tblGrid>
      <w:tr>
        <w:trPr/>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2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235" w:type="dxa"/>
            <w:tcBorders/>
            <w:shd w:fill="CCEEFF" w:val="clear"/>
            <w:vAlign w:val="center"/>
          </w:tcPr>
          <w:p>
            <w:pPr>
              <w:pStyle w:val="TableContents"/>
              <w:bidi w:val="0"/>
              <w:spacing w:before="0" w:after="283"/>
              <w:jc w:val="center"/>
              <w:rPr/>
            </w:pPr>
            <w:r>
              <w:rPr/>
              <w:t>127,682,915</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center"/>
              <w:rPr/>
            </w:pPr>
            <w:r>
              <w:rPr/>
              <w:t>9,485,566</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6,109,458</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Proposal 3: Adjournment Proposal </w:t>
      </w:r>
    </w:p>
    <w:p>
      <w:pPr>
        <w:pStyle w:val="TextBody"/>
        <w:bidi w:val="0"/>
        <w:spacing w:before="120" w:after="0"/>
        <w:jc w:val="left"/>
        <w:rPr>
          <w:rFonts w:ascii="Times New Roman" w:hAnsi="Times New Roman"/>
          <w:sz w:val="20"/>
        </w:rPr>
      </w:pPr>
      <w:r>
        <w:rPr>
          <w:rFonts w:ascii="Times New Roman" w:hAnsi="Times New Roman"/>
          <w:sz w:val="20"/>
        </w:rPr>
        <w:t xml:space="preserve">Because there were sufficient votes to approve the Merger Proposal, the Adjournment Proposal was rendered moot and was not presented at the Special Meeting.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953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650"/>
        <w:gridCol w:w="60"/>
        <w:gridCol w:w="575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85" w:type="dxa"/>
            <w:gridSpan w:val="5"/>
            <w:tcBorders/>
            <w:vAlign w:val="center"/>
          </w:tcPr>
          <w:p>
            <w:pPr>
              <w:pStyle w:val="TableContents"/>
              <w:bidi w:val="0"/>
              <w:spacing w:before="0" w:after="283"/>
              <w:jc w:val="left"/>
              <w:rPr/>
            </w:pPr>
            <w:r>
              <w:rPr/>
              <w:t>CAESARS ENTERTAINMENT,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Edmund L. Quatmann, Jr.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Edmund L. Quatmann, Jr.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Chief Legal Officer, Executive Vice President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1047</Words>
  <Characters>5700</Characters>
  <CharactersWithSpaces>6737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