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Caesars Entertainment,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Cohen &amp; Steers,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11,632,049.00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12,253,629.00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12,253,629.00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Cohen &amp; Steers Capital Management,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11,554,222.00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12,075,032.00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12,075,032.00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5.93 %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Cohen &amp; Steers UK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UNITED KINGDOM</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57,082.00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157,852.00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157,852.00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Cohen &amp; Steers Asia Limited</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HONG KONG</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CO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Cohen &amp; Steers Ireland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IRELAND</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3"/>
                <w:szCs w:val="23"/>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9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20,745.00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1"/>
                <w:szCs w:val="11"/>
                <w:color w:val="auto"/>
              </w:rPr>
            </w:pPr>
          </w:p>
        </w:tc>
        <w:tc>
          <w:tcPr>
            <w:tcW w:w="2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0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2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20,745.00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20,745.00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FI, 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040"/>
          </w:cols>
          <w:pgMar w:left="360" w:top="112" w:right="4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Caesars Entertainment,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West Liberty Street, 12th Floor, Reno, Nevada 89501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2"/>
          <w:szCs w:val="22"/>
          <w:color w:val="auto"/>
        </w:rPr>
        <w:t>Cohen &amp; Steers, Inc. Cohen &amp; Steers Capital Management, Inc. Cohen &amp; Steers UK Ltd Cohen &amp; Steers Asia Ltd Cohen &amp; Steers Ireland Ltd</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10120"/>
          </w:cols>
          <w:pgMar w:left="360" w:top="112" w:right="499" w:bottom="0" w:gutter="0" w:footer="0" w:header="0"/>
          <w:type w:val="continuous"/>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principal address for Cohen &amp; Steers, Inc. and Cohen &amp; Steers Capital Management, Inc. is: 1166 Avenue of the</w:t>
      </w:r>
    </w:p>
    <w:p>
      <w:pPr>
        <w:spacing w:after="0" w:line="26" w:lineRule="exact"/>
        <w:rPr>
          <w:sz w:val="20"/>
          <w:szCs w:val="20"/>
          <w:color w:val="auto"/>
        </w:rPr>
      </w:pPr>
    </w:p>
    <w:p>
      <w:pPr>
        <w:ind w:left="920" w:right="120" w:hanging="912"/>
        <w:spacing w:after="0" w:line="234"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Americas, 30th Floor New York, NY 10036 The principal address for Cohen &amp; Steers UK Ltd. is: The Burlian, 2nd floor, 3 Dering Street, London W1S 1AA United Kingdom The principal address for Cohen &amp; Steers Asia Ltd. is: 3301B, 33rd Floor, The Henderson 2 Murray Road Central, Hong Kong The principal address for Cohen &amp; Steers Ireland Ltd. is: Suite G01 81 Merrion Square South Dublin 2 D02 NR12 Ireland</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Cohen &amp; Steers, Inc: Delaware corporation Cohen &amp; Steers Capital Management, Inc: New York corporation Cohen</w:t>
      </w:r>
    </w:p>
    <w:p>
      <w:pPr>
        <w:spacing w:after="0" w:line="25" w:lineRule="exact"/>
        <w:rPr>
          <w:rFonts w:ascii="Times New Roman" w:cs="Times New Roman" w:eastAsia="Times New Roman" w:hAnsi="Times New Roman"/>
          <w:sz w:val="21"/>
          <w:szCs w:val="21"/>
          <w:color w:val="auto"/>
        </w:rPr>
      </w:pPr>
    </w:p>
    <w:p>
      <w:pPr>
        <w:ind w:left="92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&amp; Steers UK Ltd: United Kingdom Private Limited Company Cohen &amp; Steers Asia Ltd: Asia Private Limited</w:t>
      </w: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Company Cohen &amp; Steers Ireland Ltd: Ireland Private Limited Company</w:t>
      </w:r>
    </w:p>
    <w:p>
      <w:pPr>
        <w:sectPr>
          <w:pgSz w:w="11900" w:h="16838" w:orient="portrait"/>
          <w:cols w:equalWidth="0" w:num="1">
            <w:col w:w="11040"/>
          </w:cols>
          <w:pgMar w:left="360" w:top="112" w:right="499" w:bottom="0" w:gutter="0" w:footer="0" w:header="0"/>
          <w:type w:val="continuous"/>
        </w:sect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80"/>
        <w:spacing w:after="0" w:line="258" w:lineRule="auto"/>
        <w:rPr>
          <w:sz w:val="20"/>
          <w:szCs w:val="20"/>
          <w:color w:val="auto"/>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20"/>
        <w:spacing w:after="0" w:line="241" w:lineRule="auto"/>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ectPr>
          <w:pgSz w:w="11900" w:h="16838" w:orient="portrait"/>
          <w:cols w:equalWidth="0" w:num="2">
            <w:col w:w="620" w:space="300"/>
            <w:col w:w="10120"/>
          </w:cols>
          <w:pgMar w:left="360" w:top="112" w:right="499" w:bottom="0" w:gutter="0" w:footer="0" w:header="0"/>
          <w:type w:val="continuous"/>
        </w:sectPr>
      </w:pPr>
    </w:p>
    <w:bookmarkStart w:id="5" w:name="page6"/>
    <w:bookmarkEnd w:id="5"/>
    <w:p>
      <w:pPr>
        <w:ind w:left="920" w:hanging="912"/>
        <w:spacing w:after="0"/>
        <w:tabs>
          <w:tab w:leader="none" w:pos="9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Corporation</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12,253,629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6.02% %</w:t>
      </w:r>
    </w:p>
    <w:p>
      <w:pPr>
        <w:spacing w:after="0" w:line="20"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11,632,049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12,253,629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Each of Cohen &amp; Steers Capital Management, Inc., Cohen &amp; Steers UK Ltd., Cohen &amp; Steers Asia Ltd. and Cohen &amp; Steers Ireland Ltd. holds the securities of the Issuer to which this statement relates for the benefit of their respective account holders. Such account holders have the right to receive or the power to direct the receipt of dividends from, or proceeds from the sale of, the securities of the Issuer that are held on their behalf.</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2"/>
          <w:szCs w:val="22"/>
          <w:color w:val="auto"/>
        </w:rPr>
        <w:t>Cohen &amp; Steers, Inc. holds a 100% interest in Cohen &amp; Steers Capital Management, Inc., Cohen &amp; Steers UK Ltd., Cohen &amp; Steers Asia Ltd. (investment advisors registered under Section 203 of the Investment Advisers Act) and Cohen &amp; Steers Ireland Ltd. (a non-US institution).</w:t>
      </w:r>
    </w:p>
    <w:p>
      <w:pPr>
        <w:spacing w:after="0" w:line="11"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140"/>
          </w:cols>
          <w:pgMar w:left="360" w:top="126" w:right="399" w:bottom="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5"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Cohen &amp; Steers, Inc.</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Nargis Hilal</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SVP, Global Chief Compliance Officer &amp;</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Associate General Counsel</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Cohen &amp; Steers Capital Management, Inc.</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Nargis Hilal</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SVP, Global Chief Compliance Officer &amp;</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Associate General Counsel</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Cohen &amp; Steers UK Limited</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Nargis Hilal</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SVP, Global Chief Compliance Officer &amp;</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Associate General Counsel</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Cohen &amp; Steers Asia Limited</w:t>
      </w:r>
    </w:p>
    <w:p>
      <w:pPr>
        <w:spacing w:after="0" w:line="152"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Catherine Cheng</w:t>
      </w:r>
    </w:p>
    <w:p>
      <w:pPr>
        <w:spacing w:after="0" w:line="4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Name/Title: VP, Compliance Officer</w:t>
      </w:r>
    </w:p>
    <w:p>
      <w:pPr>
        <w:spacing w:after="0" w:line="44"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Cohen &amp; Steers Ireland Limited</w:t>
      </w:r>
    </w:p>
    <w:p>
      <w:pPr>
        <w:spacing w:after="0" w:line="152"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Alan Cooper</w:t>
      </w:r>
    </w:p>
    <w:p>
      <w:pPr>
        <w:spacing w:after="0" w:line="4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Name/Title: VP, Compliance Officer</w:t>
      </w:r>
    </w:p>
    <w:p>
      <w:pPr>
        <w:spacing w:after="0" w:line="44"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0920"/>
      </w:cols>
      <w:pgMar w:left="58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5"/>
      <w:numFmt w:val="bullet"/>
      <w:start w:val="1"/>
    </w:lvl>
  </w:abstractNum>
  <w:abstractNum w:abstractNumId="3">
    <w:nsid w:val="79E2A9E3"/>
    <w:multiLevelType w:val="hybridMultilevel"/>
    <w:lvl w:ilvl="0">
      <w:lvlJc w:val="left"/>
      <w:lvlText w:val="%1"/>
      <w:numFmt w:val="decimal"/>
      <w:start w:val="11"/>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2"/>
      <w:numFmt w:val="bullet"/>
      <w:start w:val="1"/>
    </w:lvl>
  </w:abstractNum>
  <w:abstractNum w:abstractNumId="6">
    <w:nsid w:val="5BD062C2"/>
    <w:multiLevelType w:val="hybridMultilevel"/>
    <w:lvl w:ilvl="0">
      <w:lvlJc w:val="left"/>
      <w:lvlText w:val="3"/>
      <w:numFmt w:val="bullet"/>
      <w:start w:val="1"/>
    </w:lvl>
  </w:abstractNum>
  <w:abstractNum w:abstractNumId="7">
    <w:nsid w:val="12200854"/>
    <w:multiLevelType w:val="hybridMultilevel"/>
    <w:lvl w:ilvl="0">
      <w:lvlJc w:val="left"/>
      <w:lvlText w:val="(%1)"/>
      <w:numFmt w:val="lowerLetter"/>
      <w:start w:val="2"/>
    </w:lvl>
  </w:abstractNum>
  <w:abstractNum w:abstractNumId="8">
    <w:nsid w:val="4DB127F8"/>
    <w:multiLevelType w:val="hybridMultilevel"/>
    <w:lvl w:ilvl="0">
      <w:lvlJc w:val="left"/>
      <w:lvlText w:val="(%1)"/>
      <w:numFmt w:val="lowerLetter"/>
      <w:start w:val="11"/>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2026-05-15T08:04:01Z</dcterms:created>
  <dcterms:modified xsi:type="dcterms:W3CDTF">2026-05-15T08:04:01Z</dcterms:modified>
</cp:coreProperties>
</file>