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Digilio Monica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CAESARS PALACE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CAESARS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CZR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EVP, Chief HR Officer</w:t>
      </w:r>
    </w:p>
    <w:p>
      <w:pPr>
        <w:spacing w:after="0" w:line="329"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LAS VEGAS</w:t>
            </w:r>
          </w:p>
        </w:tc>
        <w:tc>
          <w:tcPr>
            <w:tcW w:w="960" w:type="dxa"/>
            <w:vAlign w:val="bottom"/>
          </w:tcPr>
          <w:p>
            <w:pPr>
              <w:ind w:left="140"/>
              <w:spacing w:after="0"/>
              <w:rPr>
                <w:sz w:val="20"/>
                <w:szCs w:val="20"/>
                <w:color w:val="auto"/>
              </w:rPr>
            </w:pPr>
            <w:r>
              <w:rPr>
                <w:rFonts w:ascii="Arial" w:cs="Arial" w:eastAsia="Arial" w:hAnsi="Arial"/>
                <w:sz w:val="17"/>
                <w:szCs w:val="17"/>
                <w:color w:val="0000FF"/>
              </w:rPr>
              <w:t>NV</w:t>
            </w:r>
          </w:p>
        </w:tc>
        <w:tc>
          <w:tcPr>
            <w:tcW w:w="1600" w:type="dxa"/>
            <w:vAlign w:val="bottom"/>
          </w:tcPr>
          <w:p>
            <w:pPr>
              <w:ind w:left="400"/>
              <w:spacing w:after="0"/>
              <w:rPr>
                <w:sz w:val="20"/>
                <w:szCs w:val="20"/>
                <w:color w:val="auto"/>
              </w:rPr>
            </w:pPr>
            <w:r>
              <w:rPr>
                <w:rFonts w:ascii="Arial" w:cs="Arial" w:eastAsia="Arial" w:hAnsi="Arial"/>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07/20/2020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0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26,944</w:t>
            </w:r>
            <w:r>
              <w:rPr>
                <w:rFonts w:ascii="Arial" w:cs="Arial" w:eastAsia="Arial" w:hAnsi="Arial"/>
                <w:sz w:val="22"/>
                <w:szCs w:val="22"/>
                <w:color w:val="008000"/>
                <w:vertAlign w:val="superscript"/>
              </w:rPr>
              <w:t>(1)(2)</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3"/>
          </w:tcPr>
          <w:p>
            <w:pPr>
              <w:jc w:val="right"/>
              <w:ind w:right="120"/>
              <w:spacing w:after="0"/>
              <w:rPr>
                <w:sz w:val="20"/>
                <w:szCs w:val="20"/>
                <w:color w:val="auto"/>
              </w:rPr>
            </w:pPr>
            <w:r>
              <w:rPr>
                <w:rFonts w:ascii="Arial" w:cs="Arial" w:eastAsia="Arial" w:hAnsi="Arial"/>
                <w:sz w:val="11"/>
                <w:szCs w:val="11"/>
                <w:color w:val="008000"/>
              </w:rPr>
              <w:t>(1)(2)</w:t>
            </w:r>
          </w:p>
        </w:tc>
        <w:tc>
          <w:tcPr>
            <w:tcW w:w="1200" w:type="dxa"/>
            <w:vAlign w:val="bottom"/>
            <w:tcBorders>
              <w:bottom w:val="single" w:sz="8" w:color="2C2C2C"/>
            </w:tcBorders>
            <w:gridSpan w:val="2"/>
          </w:tcPr>
          <w:p>
            <w:pPr>
              <w:jc w:val="right"/>
              <w:ind w:right="337"/>
              <w:spacing w:after="0"/>
              <w:rPr>
                <w:sz w:val="20"/>
                <w:szCs w:val="20"/>
                <w:color w:val="auto"/>
              </w:rPr>
            </w:pPr>
            <w:r>
              <w:rPr>
                <w:rFonts w:ascii="Arial" w:cs="Arial" w:eastAsia="Arial" w:hAnsi="Arial"/>
                <w:sz w:val="17"/>
                <w:szCs w:val="17"/>
                <w:color w:val="0000FF"/>
              </w:rPr>
              <w:t>62,810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07/20/2020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62,810</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1"/>
                <w:szCs w:val="11"/>
                <w:color w:val="008000"/>
              </w:rPr>
              <w:t>(3)</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July 20, 2020, pursuant to that certain Agreement and Plan of Merger, dated as of June 24, 2019 (as amended by Amendment No. 1 to Agreement and Plan of Merger, dated as of August 15, 2019, the "Merger Agreement"), by and among Caesars Entertainment Corporation, a Delaware corporation (the "Company"), Eldorado Resorts, Inc., a Nevada corporation ("New Caesars") and Colt Merger Sub, Inc., a Delaware corporation and a wholly owned subsidiary of New Caesars ("Merger Sub"), Merger Sub merged with and into the Company (the "Merger").</w:t>
      </w:r>
    </w:p>
    <w:p>
      <w:pPr>
        <w:spacing w:after="0" w:line="8" w:lineRule="exact"/>
        <w:rPr>
          <w:rFonts w:ascii="Arial" w:cs="Arial" w:eastAsia="Arial" w:hAnsi="Arial"/>
          <w:sz w:val="12"/>
          <w:szCs w:val="12"/>
          <w:color w:val="008000"/>
        </w:rPr>
      </w:pPr>
    </w:p>
    <w:p>
      <w:pPr>
        <w:ind w:left="40" w:right="28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The Company stockholders were entitled to receive consideration per Company share equal to, at the election of the holder thereof and subject to the proration procedures described in the Merger Agreement, approximately $12.41 in cash or approximately 0.3085 shares of New Caesars Common Stock with a value equal to approximately $12.41 (based on the volume weighted average price per share of New Caesars Common Stock for the 10 trading days ending on July 16, 2020).</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time-vesting restricted stock units. Pursuant to the terms of the Merger Agreement, at the effective time of the Merger (the "Effective Time"), each such outstanding restricted stock unit was converted into a number of time-based restricted stock units in respect of shares of New Caesars common stock in an amount equal to (a) the per share merger consideration amount divided by (b) the volume weighted average price per share of New Caesars Common Stock for the 10 trading days ending on July 16, 2020.</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Jill Eaton,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 on behalf of Monica 07/22/2020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 Digilio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53207" TargetMode="External"/><Relationship Id="rId14" Type="http://schemas.openxmlformats.org/officeDocument/2006/relationships/hyperlink" Target="http://www.sec.gov/cgi-bin/browse-edgar?action=getcompany&amp;CIK=00008583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2020-07-22T17:46:00Z</dcterms:created>
  <dcterms:modified xsi:type="dcterms:W3CDTF">2020-07-22T17:46:00Z</dcterms:modified>
</cp:coreProperties>
</file>