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23"/>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left="1140" w:right="7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49"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Commission File Number 001-10410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ind w:left="3644"/>
        <w:spacing w:after="0"/>
        <w:rPr>
          <w:sz w:val="20"/>
          <w:szCs w:val="20"/>
          <w:color w:val="auto"/>
        </w:rPr>
      </w:pPr>
      <w:r>
        <w:rPr>
          <w:rFonts w:ascii="Arial" w:cs="Arial" w:eastAsia="Arial" w:hAnsi="Arial"/>
          <w:sz w:val="43"/>
          <w:szCs w:val="43"/>
          <w:b w:val="1"/>
          <w:bCs w:val="1"/>
          <w:color w:val="auto"/>
        </w:rPr>
        <w:t>Caesars Holdings, Inc.</w:t>
      </w:r>
    </w:p>
    <w:p>
      <w:pPr>
        <w:spacing w:after="0" w:line="50" w:lineRule="exact"/>
        <w:rPr>
          <w:sz w:val="24"/>
          <w:szCs w:val="24"/>
          <w:color w:val="auto"/>
        </w:rPr>
      </w:pPr>
    </w:p>
    <w:p>
      <w:pPr>
        <w:jc w:val="center"/>
        <w:ind w:right="-2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203"/>
        <w:spacing w:after="0"/>
        <w:rPr>
          <w:sz w:val="20"/>
          <w:szCs w:val="20"/>
          <w:color w:val="auto"/>
        </w:rPr>
      </w:pPr>
      <w:r>
        <w:rPr>
          <w:rFonts w:ascii="Arial" w:cs="Arial" w:eastAsia="Arial" w:hAnsi="Arial"/>
          <w:sz w:val="18"/>
          <w:szCs w:val="18"/>
          <w:b w:val="1"/>
          <w:bCs w:val="1"/>
          <w:color w:val="auto"/>
        </w:rPr>
        <w:t>One Caesars Palace Drive, Las Vegas, Nevada 89109</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65" w:lineRule="exact"/>
        <w:rPr>
          <w:sz w:val="24"/>
          <w:szCs w:val="24"/>
          <w:color w:val="auto"/>
        </w:rPr>
      </w:pPr>
    </w:p>
    <w:p>
      <w:pPr>
        <w:jc w:val="center"/>
        <w:ind w:right="-203"/>
        <w:spacing w:after="0"/>
        <w:rPr>
          <w:sz w:val="20"/>
          <w:szCs w:val="20"/>
          <w:color w:val="auto"/>
        </w:rPr>
      </w:pPr>
      <w:r>
        <w:rPr>
          <w:rFonts w:ascii="Arial" w:cs="Arial" w:eastAsia="Arial" w:hAnsi="Arial"/>
          <w:sz w:val="18"/>
          <w:szCs w:val="18"/>
          <w:b w:val="1"/>
          <w:bCs w:val="1"/>
          <w:color w:val="auto"/>
        </w:rPr>
        <w:t>Common Stock, Par Value $0.01</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51" w:lineRule="exact"/>
        <w:rPr>
          <w:sz w:val="24"/>
          <w:szCs w:val="24"/>
          <w:color w:val="auto"/>
        </w:rPr>
      </w:pPr>
    </w:p>
    <w:p>
      <w:pPr>
        <w:jc w:val="center"/>
        <w:ind w:right="-203"/>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3"/>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44"/>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0984"/>
          </w:cols>
          <w:pgMar w:left="436" w:top="368" w:right="479" w:bottom="1440" w:gutter="0" w:footer="0" w:header="0"/>
        </w:sectPr>
      </w:pPr>
    </w:p>
    <w:p>
      <w:pPr>
        <w:spacing w:after="0" w:line="248" w:lineRule="exact"/>
        <w:rPr>
          <w:sz w:val="24"/>
          <w:szCs w:val="24"/>
          <w:color w:val="auto"/>
        </w:rPr>
      </w:pPr>
    </w:p>
    <w:p>
      <w:pPr>
        <w:ind w:left="4404"/>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404"/>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404"/>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404"/>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404"/>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4404"/>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1" w:lineRule="exact"/>
        <w:rPr>
          <w:sz w:val="24"/>
          <w:szCs w:val="24"/>
          <w:color w:val="auto"/>
        </w:rPr>
      </w:pPr>
    </w:p>
    <w:p>
      <w:pPr>
        <w:sectPr>
          <w:pgSz w:w="11900" w:h="16838" w:orient="portrait"/>
          <w:cols w:equalWidth="0" w:num="2">
            <w:col w:w="5844" w:space="600"/>
            <w:col w:w="4540"/>
          </w:cols>
          <w:pgMar w:left="436" w:top="368" w:right="479" w:bottom="1440" w:gutter="0" w:footer="0" w:header="0"/>
          <w:type w:val="continuous"/>
        </w:sectPr>
      </w:pPr>
    </w:p>
    <w:p>
      <w:pPr>
        <w:ind w:left="444"/>
        <w:spacing w:after="0"/>
        <w:rPr>
          <w:sz w:val="20"/>
          <w:szCs w:val="20"/>
          <w:color w:val="auto"/>
        </w:rPr>
      </w:pPr>
      <w:r>
        <w:rPr>
          <w:rFonts w:ascii="Arial" w:cs="Arial" w:eastAsia="Arial" w:hAnsi="Arial"/>
          <w:sz w:val="18"/>
          <w:szCs w:val="18"/>
          <w:color w:val="auto"/>
        </w:rPr>
        <w:t>Approximate number of holders of record as of the certification or notice date: One*</w:t>
      </w:r>
    </w:p>
    <w:p>
      <w:pPr>
        <w:spacing w:after="0" w:line="185" w:lineRule="exact"/>
        <w:rPr>
          <w:sz w:val="24"/>
          <w:szCs w:val="24"/>
          <w:color w:val="auto"/>
        </w:rPr>
      </w:pPr>
    </w:p>
    <w:p>
      <w:pPr>
        <w:ind w:left="4"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Caesars Holdings, Inc. has caused this certification/notice to be signed on its behalf by the undersigned duly authorized person.</w:t>
      </w:r>
    </w:p>
    <w:p>
      <w:pPr>
        <w:spacing w:after="0" w:line="170" w:lineRule="exact"/>
        <w:rPr>
          <w:sz w:val="24"/>
          <w:szCs w:val="24"/>
          <w:color w:val="auto"/>
        </w:rPr>
      </w:pPr>
    </w:p>
    <w:p>
      <w:pPr>
        <w:ind w:left="424" w:right="340" w:hanging="424"/>
        <w:spacing w:after="0" w:line="286"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Explanatory Note: On July 20, 2020, Caesars Holdings, Inc. (formerly known as Caesars Entertainment Corporation), a Delaware corporation (“Former Caesars”), completed a merger transaction under which Former Caesars merged into Colt Merger Sub, Inc., a wholly-owned direct subsidiary of Caesars Entertainment, Inc. (formerly known as Eldorado Resorts, Inc.), a Delaware corporation.</w:t>
      </w:r>
    </w:p>
    <w:p>
      <w:pPr>
        <w:spacing w:after="0" w:line="161" w:lineRule="exact"/>
        <w:rPr>
          <w:sz w:val="24"/>
          <w:szCs w:val="24"/>
          <w:color w:val="auto"/>
        </w:rPr>
      </w:pPr>
    </w:p>
    <w:p>
      <w:pPr>
        <w:ind w:left="5764"/>
        <w:spacing w:after="0"/>
        <w:rPr>
          <w:sz w:val="20"/>
          <w:szCs w:val="20"/>
          <w:color w:val="auto"/>
        </w:rPr>
      </w:pPr>
      <w:r>
        <w:rPr>
          <w:rFonts w:ascii="Arial" w:cs="Arial" w:eastAsia="Arial" w:hAnsi="Arial"/>
          <w:sz w:val="18"/>
          <w:szCs w:val="18"/>
          <w:b w:val="1"/>
          <w:bCs w:val="1"/>
          <w:color w:val="auto"/>
        </w:rPr>
        <w:t>CAESARS HOLDINGS, INC.</w:t>
      </w:r>
    </w:p>
    <w:p>
      <w:pPr>
        <w:spacing w:after="0" w:line="229" w:lineRule="exact"/>
        <w:rPr>
          <w:sz w:val="24"/>
          <w:szCs w:val="24"/>
          <w:color w:val="auto"/>
        </w:rPr>
      </w:pPr>
    </w:p>
    <w:p>
      <w:pPr>
        <w:ind w:left="4"/>
        <w:spacing w:after="0"/>
        <w:tabs>
          <w:tab w:leader="none" w:pos="524" w:val="left"/>
          <w:tab w:leader="none" w:pos="5744" w:val="left"/>
          <w:tab w:leader="none" w:pos="6184" w:val="left"/>
        </w:tabs>
        <w:rPr>
          <w:sz w:val="20"/>
          <w:szCs w:val="20"/>
          <w:color w:val="auto"/>
        </w:rPr>
      </w:pPr>
      <w:r>
        <w:rPr>
          <w:rFonts w:ascii="Arial" w:cs="Arial" w:eastAsia="Arial" w:hAnsi="Arial"/>
          <w:sz w:val="18"/>
          <w:szCs w:val="18"/>
          <w:color w:val="auto"/>
        </w:rPr>
        <w:t>Date:</w:t>
        <w:tab/>
        <w:t>July 30,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/s/Edmund L. Quatmann,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3934460</wp:posOffset>
            </wp:positionH>
            <wp:positionV relativeFrom="paragraph">
              <wp:posOffset>14605</wp:posOffset>
            </wp:positionV>
            <wp:extent cx="3060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255"/>
                    </a:xfrm>
                    <a:prstGeom prst="rect">
                      <a:avLst/>
                    </a:prstGeom>
                    <a:noFill/>
                  </pic:spPr>
                </pic:pic>
              </a:graphicData>
            </a:graphic>
          </wp:anchor>
        </w:drawing>
      </w:r>
    </w:p>
    <w:p>
      <w:pPr>
        <w:spacing w:after="0" w:line="30" w:lineRule="exact"/>
        <w:rPr>
          <w:sz w:val="24"/>
          <w:szCs w:val="24"/>
          <w:color w:val="auto"/>
        </w:rPr>
      </w:pPr>
    </w:p>
    <w:p>
      <w:pPr>
        <w:ind w:left="6204"/>
        <w:spacing w:after="0"/>
        <w:rPr>
          <w:sz w:val="20"/>
          <w:szCs w:val="20"/>
          <w:color w:val="auto"/>
        </w:rPr>
      </w:pPr>
      <w:r>
        <w:rPr>
          <w:rFonts w:ascii="Arial" w:cs="Arial" w:eastAsia="Arial" w:hAnsi="Arial"/>
          <w:sz w:val="18"/>
          <w:szCs w:val="18"/>
          <w:color w:val="auto"/>
        </w:rPr>
        <w:t>Name: Edmund L. Quatmann, Jr.</w:t>
      </w:r>
    </w:p>
    <w:p>
      <w:pPr>
        <w:spacing w:after="0" w:line="9" w:lineRule="exact"/>
        <w:rPr>
          <w:sz w:val="24"/>
          <w:szCs w:val="24"/>
          <w:color w:val="auto"/>
        </w:rPr>
      </w:pPr>
    </w:p>
    <w:p>
      <w:pPr>
        <w:ind w:left="6204"/>
        <w:spacing w:after="0"/>
        <w:rPr>
          <w:sz w:val="20"/>
          <w:szCs w:val="20"/>
          <w:color w:val="auto"/>
        </w:rPr>
      </w:pPr>
      <w:r>
        <w:rPr>
          <w:rFonts w:ascii="Arial" w:cs="Arial" w:eastAsia="Arial" w:hAnsi="Arial"/>
          <w:sz w:val="16"/>
          <w:szCs w:val="16"/>
          <w:color w:val="auto"/>
        </w:rPr>
        <w:t>Title: Executive Vice President, Chief Legal Officer and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166370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208915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sectPr>
      <w:pgSz w:w="11900" w:h="16838" w:orient="portrait"/>
      <w:cols w:equalWidth="0" w:num="1">
        <w:col w:w="10984"/>
      </w:cols>
      <w:pgMar w:left="436" w:top="368"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2020-07-30T18:36:59Z</dcterms:created>
  <dcterms:modified xsi:type="dcterms:W3CDTF">2020-07-30T18:36:59Z</dcterms:modified>
</cp:coreProperties>
</file>