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Clark Denise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CAESARS PALACE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CAESARS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CZR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LAS VEGAS</w:t>
            </w:r>
          </w:p>
        </w:tc>
        <w:tc>
          <w:tcPr>
            <w:tcW w:w="960" w:type="dxa"/>
            <w:vAlign w:val="bottom"/>
          </w:tcPr>
          <w:p>
            <w:pPr>
              <w:ind w:left="140"/>
              <w:spacing w:after="0"/>
              <w:rPr>
                <w:sz w:val="20"/>
                <w:szCs w:val="20"/>
                <w:color w:val="auto"/>
              </w:rPr>
            </w:pPr>
            <w:r>
              <w:rPr>
                <w:rFonts w:ascii="Arial" w:cs="Arial" w:eastAsia="Arial" w:hAnsi="Arial"/>
                <w:sz w:val="17"/>
                <w:szCs w:val="17"/>
                <w:color w:val="0000FF"/>
              </w:rPr>
              <w:t>NV</w:t>
            </w:r>
          </w:p>
        </w:tc>
        <w:tc>
          <w:tcPr>
            <w:tcW w:w="1600" w:type="dxa"/>
            <w:vAlign w:val="bottom"/>
          </w:tcPr>
          <w:p>
            <w:pPr>
              <w:ind w:left="400"/>
              <w:spacing w:after="0"/>
              <w:rPr>
                <w:sz w:val="20"/>
                <w:szCs w:val="20"/>
                <w:color w:val="auto"/>
              </w:rPr>
            </w:pPr>
            <w:r>
              <w:rPr>
                <w:rFonts w:ascii="Arial" w:cs="Arial" w:eastAsia="Arial" w:hAnsi="Arial"/>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07/20/2020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0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15,434</w:t>
            </w:r>
            <w:r>
              <w:rPr>
                <w:rFonts w:ascii="Arial" w:cs="Arial" w:eastAsia="Arial" w:hAnsi="Arial"/>
                <w:sz w:val="22"/>
                <w:szCs w:val="22"/>
                <w:color w:val="008000"/>
                <w:vertAlign w:val="superscript"/>
              </w:rPr>
              <w:t>(1)(2)</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3"/>
          </w:tcPr>
          <w:p>
            <w:pPr>
              <w:jc w:val="right"/>
              <w:ind w:right="120"/>
              <w:spacing w:after="0"/>
              <w:rPr>
                <w:sz w:val="20"/>
                <w:szCs w:val="20"/>
                <w:color w:val="auto"/>
              </w:rPr>
            </w:pPr>
            <w:r>
              <w:rPr>
                <w:rFonts w:ascii="Arial" w:cs="Arial" w:eastAsia="Arial" w:hAnsi="Arial"/>
                <w:sz w:val="11"/>
                <w:szCs w:val="11"/>
                <w:color w:val="008000"/>
              </w:rPr>
              <w:t>(1)(2)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375"/>
              <w:spacing w:after="0"/>
              <w:rPr>
                <w:sz w:val="20"/>
                <w:szCs w:val="20"/>
                <w:color w:val="auto"/>
              </w:rPr>
            </w:pPr>
            <w:r>
              <w:rPr>
                <w:rFonts w:ascii="Arial" w:cs="Arial" w:eastAsia="Arial" w:hAnsi="Arial"/>
                <w:sz w:val="17"/>
                <w:szCs w:val="17"/>
                <w:color w:val="0000FF"/>
                <w:w w:val="84"/>
              </w:rPr>
              <w:t>8,536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07/20/2020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8,536</w:t>
            </w:r>
            <w:r>
              <w:rPr>
                <w:rFonts w:ascii="Arial" w:cs="Arial" w:eastAsia="Arial" w:hAnsi="Arial"/>
                <w:sz w:val="22"/>
                <w:szCs w:val="22"/>
                <w:color w:val="008000"/>
                <w:w w:val="89"/>
                <w:vertAlign w:val="superscript"/>
              </w:rPr>
              <w:t>(3)</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1"/>
                <w:szCs w:val="11"/>
                <w:color w:val="008000"/>
              </w:rPr>
              <w:t>(3)</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515"/>
              <w:spacing w:after="0"/>
              <w:rPr>
                <w:sz w:val="20"/>
                <w:szCs w:val="20"/>
                <w:color w:val="auto"/>
              </w:rPr>
            </w:pPr>
            <w:r>
              <w:rPr>
                <w:rFonts w:ascii="Arial" w:cs="Arial" w:eastAsia="Arial" w:hAnsi="Arial"/>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July 20, 2020, pursuant to that certain Agreement and Plan of Merger, dated as of June 24, 2019 (as amended by Amendment No. 1 to Agreement and Plan of Merger, dated as of August 15, 2019, the "Merger Agreement"), by and among Caesars Entertainment Corporation, a Delaware corporation (the "Company"), Eldorado Resorts, Inc., a Nevada corporation ("New Caesars") and Colt Merger Sub, Inc., a Delaware corporation and a wholly owned subsidiary of New Caesars ("Merger Sub"), Merger Sub merged with and into the Company (the "Merger").</w:t>
      </w:r>
    </w:p>
    <w:p>
      <w:pPr>
        <w:spacing w:after="0" w:line="8" w:lineRule="exact"/>
        <w:rPr>
          <w:rFonts w:ascii="Arial" w:cs="Arial" w:eastAsia="Arial" w:hAnsi="Arial"/>
          <w:sz w:val="12"/>
          <w:szCs w:val="12"/>
          <w:color w:val="008000"/>
        </w:rPr>
      </w:pPr>
    </w:p>
    <w:p>
      <w:pPr>
        <w:ind w:left="40" w:right="300" w:firstLine="7"/>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2] The Company stockholders were entitled to receive consideration per Company share equal to, at the election of the holder thereof and subject to the proration procedures described in the Merger Agreement, approximately $12.41 in cash or approximately 0.3085 shares of New Caesars Common Stock with a value equal to approximately $12.41 (based on the volume weighted average price per share of New Caesars Common Stock for the 10 trading days ending on July 16, 2020).</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Amounts shown represent phantom stock held under the Company's Outside Director Deferred Compensation Plan. At the effective time of the Merger, each such phantom stock was converted into a number of units for New Caesars common stock in an amount equal to (a) the per share merger consideration amount divided by (b) the volume weighted average price per share of New Caesars Common Stock for the 10 trading days ending on July 16, 2020.</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Jill Eaton,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2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 on behalf of Denise</w:t>
      </w:r>
      <w:r>
        <w:rPr>
          <w:sz w:val="20"/>
          <w:szCs w:val="20"/>
          <w:color w:val="auto"/>
        </w:rPr>
        <w:tab/>
      </w:r>
      <w:r>
        <w:rPr>
          <w:rFonts w:ascii="Arial" w:cs="Arial" w:eastAsia="Arial" w:hAnsi="Arial"/>
          <w:sz w:val="15"/>
          <w:szCs w:val="15"/>
          <w:color w:val="0000FF"/>
        </w:rPr>
        <w:t>07/22/2020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 Clark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6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9687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0332" TargetMode="External"/><Relationship Id="rId14" Type="http://schemas.openxmlformats.org/officeDocument/2006/relationships/hyperlink" Target="http://www.sec.gov/cgi-bin/browse-edgar?action=getcompany&amp;CIK=00008583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2020-07-22T17:48:07Z</dcterms:created>
  <dcterms:modified xsi:type="dcterms:W3CDTF">2020-07-22T17:48:07Z</dcterms:modified>
</cp:coreProperties>
</file>